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D73B" w14:textId="77777777" w:rsidR="00D507AC" w:rsidRPr="00960183" w:rsidRDefault="00CA34D4" w:rsidP="00806F59">
      <w:pPr>
        <w:spacing w:before="120" w:after="120"/>
        <w:jc w:val="center"/>
        <w:rPr>
          <w:rFonts w:cs="Arial"/>
          <w:b/>
        </w:rPr>
      </w:pPr>
      <w:r w:rsidRPr="00960183">
        <w:rPr>
          <w:rFonts w:cs="Arial"/>
          <w:b/>
        </w:rPr>
        <w:t>Tarifeinigung in den Tarifverhandlungen</w:t>
      </w:r>
    </w:p>
    <w:p w14:paraId="7F4CB830" w14:textId="77777777" w:rsidR="00CA34D4" w:rsidRPr="00960183" w:rsidRDefault="00CA34D4" w:rsidP="00806F59">
      <w:pPr>
        <w:spacing w:before="120" w:after="120"/>
        <w:jc w:val="center"/>
        <w:rPr>
          <w:rFonts w:cs="Arial"/>
          <w:b/>
        </w:rPr>
      </w:pPr>
      <w:r w:rsidRPr="00960183">
        <w:rPr>
          <w:rFonts w:cs="Arial"/>
          <w:b/>
        </w:rPr>
        <w:t>für die Beschäftigten der Länder</w:t>
      </w:r>
    </w:p>
    <w:p w14:paraId="3D430DC3" w14:textId="77777777" w:rsidR="00CA34D4" w:rsidRPr="00960183" w:rsidRDefault="00CA34D4" w:rsidP="00806F59">
      <w:pPr>
        <w:spacing w:before="120" w:after="120"/>
        <w:jc w:val="center"/>
        <w:rPr>
          <w:rFonts w:cs="Arial"/>
          <w:b/>
        </w:rPr>
      </w:pPr>
    </w:p>
    <w:p w14:paraId="5073C349" w14:textId="2ED6B13F" w:rsidR="005B2CFF" w:rsidRPr="00960183" w:rsidRDefault="005B2CFF" w:rsidP="00806F59">
      <w:pPr>
        <w:spacing w:before="120" w:after="120"/>
        <w:jc w:val="center"/>
        <w:rPr>
          <w:rFonts w:cs="Arial"/>
        </w:rPr>
      </w:pPr>
      <w:r w:rsidRPr="00960183">
        <w:rPr>
          <w:rFonts w:cs="Arial"/>
          <w:b/>
        </w:rPr>
        <w:t xml:space="preserve">vom </w:t>
      </w:r>
      <w:r w:rsidR="005F0DA7">
        <w:rPr>
          <w:rFonts w:cs="Arial"/>
          <w:b/>
        </w:rPr>
        <w:t>28.</w:t>
      </w:r>
      <w:r w:rsidR="000215F6" w:rsidRPr="00960183">
        <w:rPr>
          <w:rFonts w:cs="Arial"/>
          <w:b/>
        </w:rPr>
        <w:t xml:space="preserve"> </w:t>
      </w:r>
      <w:r w:rsidR="00213DE8" w:rsidRPr="00960183">
        <w:rPr>
          <w:rFonts w:cs="Arial"/>
          <w:b/>
        </w:rPr>
        <w:t>März</w:t>
      </w:r>
      <w:r w:rsidRPr="00960183">
        <w:rPr>
          <w:rFonts w:cs="Arial"/>
          <w:b/>
        </w:rPr>
        <w:t xml:space="preserve"> 20</w:t>
      </w:r>
      <w:r w:rsidR="000215F6" w:rsidRPr="00960183">
        <w:rPr>
          <w:rFonts w:cs="Arial"/>
          <w:b/>
        </w:rPr>
        <w:t>1</w:t>
      </w:r>
      <w:r w:rsidR="005F63C6">
        <w:rPr>
          <w:rFonts w:cs="Arial"/>
          <w:b/>
        </w:rPr>
        <w:t>5</w:t>
      </w:r>
    </w:p>
    <w:p w14:paraId="1C229ABD" w14:textId="77777777" w:rsidR="000A178F" w:rsidRPr="00960183" w:rsidRDefault="000A178F" w:rsidP="00806F59">
      <w:pPr>
        <w:tabs>
          <w:tab w:val="left" w:pos="1344"/>
        </w:tabs>
        <w:spacing w:before="120" w:after="120"/>
        <w:rPr>
          <w:rFonts w:cs="Arial"/>
        </w:rPr>
      </w:pPr>
    </w:p>
    <w:p w14:paraId="76970F49" w14:textId="77777777" w:rsidR="000A178F" w:rsidRPr="00960183" w:rsidRDefault="009B7068" w:rsidP="00806F59">
      <w:pPr>
        <w:spacing w:before="120" w:after="120"/>
        <w:ind w:left="567" w:hanging="567"/>
        <w:rPr>
          <w:rFonts w:cs="Arial"/>
          <w:b/>
        </w:rPr>
      </w:pPr>
      <w:r w:rsidRPr="00960183">
        <w:rPr>
          <w:rFonts w:cs="Arial"/>
          <w:b/>
        </w:rPr>
        <w:t>I.</w:t>
      </w:r>
      <w:r w:rsidRPr="00960183">
        <w:rPr>
          <w:rFonts w:cs="Arial"/>
          <w:b/>
        </w:rPr>
        <w:tab/>
      </w:r>
      <w:r w:rsidR="000215F6" w:rsidRPr="00960183">
        <w:rPr>
          <w:rFonts w:cs="Arial"/>
          <w:b/>
        </w:rPr>
        <w:t>Entgelt</w:t>
      </w:r>
    </w:p>
    <w:p w14:paraId="1C32606D" w14:textId="77777777" w:rsidR="005F63C6" w:rsidRDefault="009B7068" w:rsidP="00806F59">
      <w:pPr>
        <w:spacing w:before="120" w:after="120"/>
        <w:ind w:left="567" w:hanging="567"/>
        <w:rPr>
          <w:rFonts w:cs="Arial"/>
          <w:b/>
        </w:rPr>
      </w:pPr>
      <w:r w:rsidRPr="00960183">
        <w:rPr>
          <w:rFonts w:cs="Arial"/>
          <w:b/>
        </w:rPr>
        <w:t>1.</w:t>
      </w:r>
      <w:r w:rsidRPr="00960183">
        <w:rPr>
          <w:rFonts w:cs="Arial"/>
          <w:b/>
        </w:rPr>
        <w:tab/>
      </w:r>
      <w:r w:rsidR="00910FD2" w:rsidRPr="00960183">
        <w:rPr>
          <w:rFonts w:cs="Arial"/>
          <w:b/>
        </w:rPr>
        <w:t>Erhöhung der Tabellenentgelte des TV-L</w:t>
      </w:r>
    </w:p>
    <w:p w14:paraId="2478244B" w14:textId="77777777" w:rsidR="005F63C6" w:rsidRPr="00960183" w:rsidRDefault="005F63C6" w:rsidP="00806F59">
      <w:pPr>
        <w:spacing w:before="120" w:after="120"/>
        <w:ind w:left="540"/>
        <w:rPr>
          <w:rFonts w:cs="Arial"/>
        </w:rPr>
      </w:pPr>
      <w:r w:rsidRPr="00960183">
        <w:rPr>
          <w:rFonts w:cs="Arial"/>
        </w:rPr>
        <w:t>Die Tabellenentgelte (einschließlich der Beträge aus einer individuellen Zwischen- oder Endstufe sowie der Tabellenwerte für die Entgeltgruppen 2 Ü, 13 Ü und 15 Ü) werden wie folgt erhöht:</w:t>
      </w:r>
    </w:p>
    <w:p w14:paraId="30150A0B" w14:textId="79200D80" w:rsidR="005F63C6" w:rsidRPr="00960183" w:rsidRDefault="005F63C6" w:rsidP="00806F59">
      <w:pPr>
        <w:numPr>
          <w:ilvl w:val="0"/>
          <w:numId w:val="26"/>
        </w:numPr>
        <w:tabs>
          <w:tab w:val="clear" w:pos="1721"/>
          <w:tab w:val="num" w:pos="1134"/>
        </w:tabs>
        <w:spacing w:before="120" w:after="120"/>
        <w:ind w:left="1134" w:hanging="567"/>
        <w:rPr>
          <w:rFonts w:cs="Arial"/>
        </w:rPr>
      </w:pPr>
      <w:r w:rsidRPr="00960183">
        <w:rPr>
          <w:rFonts w:cs="Arial"/>
        </w:rPr>
        <w:t xml:space="preserve">ab </w:t>
      </w:r>
      <w:r>
        <w:rPr>
          <w:rFonts w:cs="Arial"/>
        </w:rPr>
        <w:t xml:space="preserve">1. </w:t>
      </w:r>
      <w:r w:rsidR="00135350">
        <w:rPr>
          <w:rFonts w:cs="Arial"/>
        </w:rPr>
        <w:t xml:space="preserve">März </w:t>
      </w:r>
      <w:r w:rsidR="00D179E6">
        <w:rPr>
          <w:rFonts w:cs="Arial"/>
        </w:rPr>
        <w:t>2015</w:t>
      </w:r>
      <w:r w:rsidRPr="00960183">
        <w:rPr>
          <w:rFonts w:cs="Arial"/>
        </w:rPr>
        <w:t xml:space="preserve"> um </w:t>
      </w:r>
      <w:r w:rsidR="00135350">
        <w:rPr>
          <w:rFonts w:cs="Arial"/>
        </w:rPr>
        <w:t>2,1</w:t>
      </w:r>
      <w:r w:rsidRPr="00960183">
        <w:rPr>
          <w:rFonts w:cs="Arial"/>
        </w:rPr>
        <w:t xml:space="preserve"> v.</w:t>
      </w:r>
      <w:r w:rsidR="00975033">
        <w:rPr>
          <w:rFonts w:cs="Arial"/>
        </w:rPr>
        <w:t xml:space="preserve"> </w:t>
      </w:r>
      <w:r w:rsidRPr="00960183">
        <w:rPr>
          <w:rFonts w:cs="Arial"/>
        </w:rPr>
        <w:t>H.</w:t>
      </w:r>
      <w:r>
        <w:rPr>
          <w:rFonts w:cs="Arial"/>
        </w:rPr>
        <w:t xml:space="preserve"> und</w:t>
      </w:r>
    </w:p>
    <w:p w14:paraId="322F15B3" w14:textId="53D4F8A0" w:rsidR="005F63C6" w:rsidRPr="00960183" w:rsidRDefault="005F63C6" w:rsidP="00806F59">
      <w:pPr>
        <w:numPr>
          <w:ilvl w:val="0"/>
          <w:numId w:val="26"/>
        </w:numPr>
        <w:tabs>
          <w:tab w:val="clear" w:pos="1721"/>
        </w:tabs>
        <w:spacing w:before="120" w:after="120"/>
        <w:ind w:left="1134" w:hanging="567"/>
        <w:rPr>
          <w:rFonts w:cs="Arial"/>
        </w:rPr>
      </w:pPr>
      <w:r w:rsidRPr="00960183">
        <w:rPr>
          <w:rFonts w:cs="Arial"/>
        </w:rPr>
        <w:t xml:space="preserve">ab </w:t>
      </w:r>
      <w:r>
        <w:rPr>
          <w:rFonts w:cs="Arial"/>
        </w:rPr>
        <w:t xml:space="preserve">1. </w:t>
      </w:r>
      <w:r w:rsidR="00135350">
        <w:rPr>
          <w:rFonts w:cs="Arial"/>
        </w:rPr>
        <w:t xml:space="preserve">März </w:t>
      </w:r>
      <w:r w:rsidR="00D179E6">
        <w:rPr>
          <w:rFonts w:cs="Arial"/>
        </w:rPr>
        <w:t xml:space="preserve">2016 </w:t>
      </w:r>
      <w:r w:rsidRPr="00960183">
        <w:rPr>
          <w:rFonts w:cs="Arial"/>
        </w:rPr>
        <w:t xml:space="preserve">um weitere </w:t>
      </w:r>
      <w:r w:rsidR="00135350">
        <w:rPr>
          <w:rFonts w:cs="Arial"/>
        </w:rPr>
        <w:t>2,3</w:t>
      </w:r>
      <w:r w:rsidRPr="00960183">
        <w:rPr>
          <w:rFonts w:cs="Arial"/>
        </w:rPr>
        <w:t xml:space="preserve"> v.</w:t>
      </w:r>
      <w:r w:rsidR="00975033">
        <w:rPr>
          <w:rFonts w:cs="Arial"/>
        </w:rPr>
        <w:t xml:space="preserve"> </w:t>
      </w:r>
      <w:r w:rsidRPr="00960183">
        <w:rPr>
          <w:rFonts w:cs="Arial"/>
        </w:rPr>
        <w:t>H.</w:t>
      </w:r>
      <w:r w:rsidR="003012DB">
        <w:rPr>
          <w:rFonts w:cs="Arial"/>
        </w:rPr>
        <w:t>,</w:t>
      </w:r>
      <w:r w:rsidRPr="00960183">
        <w:rPr>
          <w:rFonts w:cs="Arial"/>
        </w:rPr>
        <w:t xml:space="preserve"> </w:t>
      </w:r>
      <w:r w:rsidR="003012DB">
        <w:rPr>
          <w:rFonts w:cs="Arial"/>
        </w:rPr>
        <w:t xml:space="preserve">mindestens aber </w:t>
      </w:r>
      <w:r w:rsidR="00135350">
        <w:rPr>
          <w:rFonts w:cs="Arial"/>
        </w:rPr>
        <w:t>75</w:t>
      </w:r>
      <w:r w:rsidR="003012DB">
        <w:rPr>
          <w:rFonts w:cs="Arial"/>
        </w:rPr>
        <w:t xml:space="preserve"> Euro.</w:t>
      </w:r>
    </w:p>
    <w:p w14:paraId="5360355D" w14:textId="77777777" w:rsidR="005F63C6" w:rsidRPr="00960183" w:rsidRDefault="005F63C6" w:rsidP="00806F59">
      <w:pPr>
        <w:spacing w:before="120" w:after="120"/>
        <w:rPr>
          <w:rFonts w:cs="Arial"/>
        </w:rPr>
      </w:pPr>
    </w:p>
    <w:p w14:paraId="2CEC199C" w14:textId="77777777" w:rsidR="00A37271" w:rsidRPr="00960183" w:rsidRDefault="009B7068" w:rsidP="00806F59">
      <w:pPr>
        <w:spacing w:before="120" w:after="120"/>
        <w:ind w:left="567" w:hanging="567"/>
        <w:rPr>
          <w:rFonts w:cs="Arial"/>
        </w:rPr>
      </w:pPr>
      <w:r w:rsidRPr="00960183">
        <w:rPr>
          <w:rFonts w:cs="Arial"/>
          <w:b/>
        </w:rPr>
        <w:t>2.</w:t>
      </w:r>
      <w:r w:rsidRPr="00960183">
        <w:rPr>
          <w:rFonts w:cs="Arial"/>
          <w:b/>
        </w:rPr>
        <w:tab/>
      </w:r>
      <w:r w:rsidR="00A37271" w:rsidRPr="00960183">
        <w:rPr>
          <w:rFonts w:cs="Arial"/>
          <w:b/>
        </w:rPr>
        <w:t>Auszubildende, Praktikantinnen und Praktikanten</w:t>
      </w:r>
    </w:p>
    <w:p w14:paraId="789F53EE" w14:textId="55D5CBE7" w:rsidR="005D5232" w:rsidRPr="00960183" w:rsidRDefault="00282CFF" w:rsidP="00806F59">
      <w:pPr>
        <w:spacing w:before="120" w:after="120"/>
        <w:ind w:left="567"/>
        <w:rPr>
          <w:rFonts w:cs="Arial"/>
        </w:rPr>
      </w:pPr>
      <w:r w:rsidRPr="00960183">
        <w:rPr>
          <w:rFonts w:cs="Arial"/>
        </w:rPr>
        <w:t xml:space="preserve">Die monatlichen Ausbildungsentgelte der Auszubildenden nach dem TVA-L BBiG und nach dem TVA-L Pflege sowie die Tarifentgelte der Praktikantinnen und Praktikanten </w:t>
      </w:r>
      <w:r w:rsidR="00615C26" w:rsidRPr="00960183">
        <w:rPr>
          <w:rFonts w:cs="Arial"/>
        </w:rPr>
        <w:t xml:space="preserve">nach </w:t>
      </w:r>
      <w:r w:rsidR="00736B11" w:rsidRPr="00960183">
        <w:rPr>
          <w:rFonts w:cs="Arial"/>
        </w:rPr>
        <w:t xml:space="preserve">dem </w:t>
      </w:r>
      <w:r w:rsidR="00615C26" w:rsidRPr="00960183">
        <w:rPr>
          <w:rFonts w:cs="Arial"/>
        </w:rPr>
        <w:t>TV</w:t>
      </w:r>
      <w:r w:rsidR="00B32779">
        <w:rPr>
          <w:rFonts w:cs="Arial"/>
        </w:rPr>
        <w:t xml:space="preserve"> </w:t>
      </w:r>
      <w:r w:rsidR="00615C26" w:rsidRPr="00960183">
        <w:rPr>
          <w:rFonts w:cs="Arial"/>
        </w:rPr>
        <w:t xml:space="preserve">Prakt-L </w:t>
      </w:r>
      <w:r w:rsidRPr="00960183">
        <w:rPr>
          <w:rFonts w:cs="Arial"/>
        </w:rPr>
        <w:t xml:space="preserve">werden </w:t>
      </w:r>
      <w:r w:rsidR="005D5232" w:rsidRPr="00960183">
        <w:rPr>
          <w:rFonts w:cs="Arial"/>
        </w:rPr>
        <w:t xml:space="preserve">wie </w:t>
      </w:r>
      <w:proofErr w:type="gramStart"/>
      <w:r w:rsidR="005D5232" w:rsidRPr="00960183">
        <w:rPr>
          <w:rFonts w:cs="Arial"/>
        </w:rPr>
        <w:t>folgt</w:t>
      </w:r>
      <w:proofErr w:type="gramEnd"/>
      <w:r w:rsidR="005D5232" w:rsidRPr="00960183">
        <w:rPr>
          <w:rFonts w:cs="Arial"/>
        </w:rPr>
        <w:t xml:space="preserve"> erhöht:</w:t>
      </w:r>
    </w:p>
    <w:p w14:paraId="1363BEA2" w14:textId="045E0F4E" w:rsidR="00C81178" w:rsidRDefault="00C81178" w:rsidP="00806F59">
      <w:pPr>
        <w:numPr>
          <w:ilvl w:val="0"/>
          <w:numId w:val="19"/>
        </w:numPr>
        <w:tabs>
          <w:tab w:val="clear" w:pos="899"/>
          <w:tab w:val="num" w:pos="1134"/>
        </w:tabs>
        <w:spacing w:before="120" w:after="120"/>
        <w:ind w:left="1134" w:hanging="567"/>
        <w:rPr>
          <w:rFonts w:cs="Arial"/>
        </w:rPr>
      </w:pPr>
      <w:r w:rsidRPr="00960183">
        <w:rPr>
          <w:rFonts w:cs="Arial"/>
        </w:rPr>
        <w:t xml:space="preserve">ab </w:t>
      </w:r>
      <w:r>
        <w:rPr>
          <w:rFonts w:cs="Arial"/>
        </w:rPr>
        <w:t xml:space="preserve">1. </w:t>
      </w:r>
      <w:r w:rsidR="00135350">
        <w:rPr>
          <w:rFonts w:cs="Arial"/>
        </w:rPr>
        <w:t>März</w:t>
      </w:r>
      <w:r w:rsidR="00753D44">
        <w:rPr>
          <w:rFonts w:cs="Arial"/>
        </w:rPr>
        <w:t xml:space="preserve"> 2015</w:t>
      </w:r>
      <w:r w:rsidRPr="00960183">
        <w:rPr>
          <w:rFonts w:cs="Arial"/>
        </w:rPr>
        <w:t xml:space="preserve"> um </w:t>
      </w:r>
      <w:r w:rsidR="00FC49F7">
        <w:rPr>
          <w:rFonts w:cs="Arial"/>
        </w:rPr>
        <w:t xml:space="preserve">einen Festbetrag in Höhe von </w:t>
      </w:r>
      <w:r w:rsidR="00135350">
        <w:rPr>
          <w:rFonts w:cs="Arial"/>
        </w:rPr>
        <w:t>30</w:t>
      </w:r>
      <w:r w:rsidR="00FC49F7">
        <w:rPr>
          <w:rFonts w:cs="Arial"/>
        </w:rPr>
        <w:t xml:space="preserve"> Euro </w:t>
      </w:r>
      <w:r>
        <w:rPr>
          <w:rFonts w:cs="Arial"/>
        </w:rPr>
        <w:t>und</w:t>
      </w:r>
    </w:p>
    <w:p w14:paraId="7495195A" w14:textId="14FFF052" w:rsidR="00C81178" w:rsidRPr="00960183" w:rsidRDefault="00C81178" w:rsidP="00806F59">
      <w:pPr>
        <w:numPr>
          <w:ilvl w:val="0"/>
          <w:numId w:val="19"/>
        </w:numPr>
        <w:tabs>
          <w:tab w:val="clear" w:pos="899"/>
          <w:tab w:val="num" w:pos="1134"/>
        </w:tabs>
        <w:spacing w:before="120" w:after="120"/>
        <w:ind w:left="1134" w:hanging="567"/>
        <w:rPr>
          <w:rFonts w:cs="Arial"/>
        </w:rPr>
      </w:pPr>
      <w:r w:rsidRPr="00960183">
        <w:rPr>
          <w:rFonts w:cs="Arial"/>
        </w:rPr>
        <w:t xml:space="preserve">ab </w:t>
      </w:r>
      <w:r>
        <w:rPr>
          <w:rFonts w:cs="Arial"/>
        </w:rPr>
        <w:t xml:space="preserve">1. </w:t>
      </w:r>
      <w:r w:rsidR="00135350">
        <w:rPr>
          <w:rFonts w:cs="Arial"/>
        </w:rPr>
        <w:t xml:space="preserve">März </w:t>
      </w:r>
      <w:r w:rsidR="00753D44">
        <w:rPr>
          <w:rFonts w:cs="Arial"/>
        </w:rPr>
        <w:t>2016</w:t>
      </w:r>
      <w:r w:rsidRPr="00960183">
        <w:rPr>
          <w:rFonts w:cs="Arial"/>
        </w:rPr>
        <w:t xml:space="preserve"> um </w:t>
      </w:r>
      <w:r w:rsidR="00135350">
        <w:rPr>
          <w:rFonts w:cs="Arial"/>
        </w:rPr>
        <w:t>einen weiteren Festbetrag in Höhe von 30 Euro</w:t>
      </w:r>
      <w:r w:rsidRPr="00960183">
        <w:rPr>
          <w:rFonts w:cs="Arial"/>
        </w:rPr>
        <w:t xml:space="preserve">. </w:t>
      </w:r>
    </w:p>
    <w:p w14:paraId="16FA7CFF" w14:textId="77777777" w:rsidR="00F2421A" w:rsidRPr="00960183" w:rsidRDefault="00F2421A" w:rsidP="00806F59">
      <w:pPr>
        <w:spacing w:before="120" w:after="120"/>
        <w:ind w:left="567"/>
        <w:rPr>
          <w:rFonts w:cs="Arial"/>
        </w:rPr>
      </w:pPr>
    </w:p>
    <w:p w14:paraId="2299FA50" w14:textId="77777777" w:rsidR="0056546D" w:rsidRPr="00960183" w:rsidRDefault="00A2135A" w:rsidP="00806F59">
      <w:pPr>
        <w:spacing w:before="120" w:after="120"/>
        <w:ind w:left="567" w:hanging="567"/>
        <w:rPr>
          <w:rFonts w:cs="Arial"/>
          <w:b/>
        </w:rPr>
      </w:pPr>
      <w:r w:rsidRPr="00960183">
        <w:rPr>
          <w:rFonts w:cs="Arial"/>
          <w:b/>
        </w:rPr>
        <w:t>3</w:t>
      </w:r>
      <w:r w:rsidR="009B7068" w:rsidRPr="00960183">
        <w:rPr>
          <w:rFonts w:cs="Arial"/>
          <w:b/>
        </w:rPr>
        <w:t>.</w:t>
      </w:r>
      <w:r w:rsidR="009B7068" w:rsidRPr="00960183">
        <w:rPr>
          <w:rFonts w:cs="Arial"/>
          <w:b/>
        </w:rPr>
        <w:tab/>
      </w:r>
      <w:r w:rsidR="0056546D" w:rsidRPr="00960183">
        <w:rPr>
          <w:rFonts w:cs="Arial"/>
          <w:b/>
        </w:rPr>
        <w:t>Folgeänderungen bei Entgeltbestandteilen</w:t>
      </w:r>
    </w:p>
    <w:p w14:paraId="082480F8" w14:textId="77777777" w:rsidR="00752723" w:rsidRPr="00413A14" w:rsidRDefault="00752723" w:rsidP="00806F59">
      <w:pPr>
        <w:spacing w:before="120" w:after="120"/>
        <w:ind w:left="567"/>
        <w:rPr>
          <w:rFonts w:cs="Arial"/>
        </w:rPr>
      </w:pPr>
      <w:r w:rsidRPr="00413A14">
        <w:rPr>
          <w:rFonts w:cs="Arial"/>
        </w:rPr>
        <w:t xml:space="preserve">Es </w:t>
      </w:r>
      <w:proofErr w:type="gramStart"/>
      <w:r w:rsidRPr="00413A14">
        <w:rPr>
          <w:rFonts w:cs="Arial"/>
        </w:rPr>
        <w:t>erhöhen</w:t>
      </w:r>
      <w:proofErr w:type="gramEnd"/>
      <w:r w:rsidRPr="00413A14">
        <w:rPr>
          <w:rFonts w:cs="Arial"/>
        </w:rPr>
        <w:t xml:space="preserve"> sich</w:t>
      </w:r>
    </w:p>
    <w:p w14:paraId="7B745C84" w14:textId="77777777" w:rsidR="00752723" w:rsidRDefault="00752723" w:rsidP="000E1903">
      <w:pPr>
        <w:spacing w:before="120" w:after="120"/>
        <w:ind w:left="1134" w:hanging="567"/>
        <w:rPr>
          <w:rFonts w:cs="Arial"/>
        </w:rPr>
      </w:pPr>
      <w:r w:rsidRPr="00413A14">
        <w:rPr>
          <w:rFonts w:cs="Arial"/>
        </w:rPr>
        <w:t>a)</w:t>
      </w:r>
      <w:r w:rsidRPr="00413A14">
        <w:rPr>
          <w:rFonts w:cs="Arial"/>
        </w:rPr>
        <w:tab/>
        <w:t>die Garantiebeträge in § 17 Absatz 4 Satz 2 TV-L,</w:t>
      </w:r>
    </w:p>
    <w:p w14:paraId="4F5B0409" w14:textId="00123B8B" w:rsidR="00752723" w:rsidRPr="00413A14" w:rsidRDefault="00B32779" w:rsidP="000E1903">
      <w:pPr>
        <w:spacing w:before="120" w:after="120"/>
        <w:ind w:left="1134" w:hanging="567"/>
        <w:rPr>
          <w:rFonts w:cs="Arial"/>
        </w:rPr>
      </w:pPr>
      <w:r>
        <w:rPr>
          <w:rFonts w:cs="Arial"/>
        </w:rPr>
        <w:t>b</w:t>
      </w:r>
      <w:r w:rsidR="00752723" w:rsidRPr="00413A14">
        <w:rPr>
          <w:rFonts w:cs="Arial"/>
        </w:rPr>
        <w:t>)</w:t>
      </w:r>
      <w:r w:rsidR="00752723" w:rsidRPr="00413A14">
        <w:rPr>
          <w:rFonts w:cs="Arial"/>
        </w:rPr>
        <w:tab/>
        <w:t>die Bereitschaftsdienstentgelte in der Anlage E zum TV-L,</w:t>
      </w:r>
    </w:p>
    <w:p w14:paraId="0A6EA9BB" w14:textId="26D2506B" w:rsidR="00752723" w:rsidRDefault="008328B6" w:rsidP="000E1903">
      <w:pPr>
        <w:spacing w:before="120" w:after="120"/>
        <w:ind w:left="1134" w:hanging="567"/>
        <w:rPr>
          <w:rFonts w:cs="Arial"/>
          <w:color w:val="000000"/>
        </w:rPr>
      </w:pPr>
      <w:r>
        <w:rPr>
          <w:rFonts w:cs="Arial"/>
        </w:rPr>
        <w:t>c</w:t>
      </w:r>
      <w:r w:rsidR="00752723" w:rsidRPr="00413A14">
        <w:rPr>
          <w:rFonts w:cs="Arial"/>
        </w:rPr>
        <w:t>)</w:t>
      </w:r>
      <w:r w:rsidR="00752723" w:rsidRPr="00413A14">
        <w:rPr>
          <w:rFonts w:cs="Arial"/>
        </w:rPr>
        <w:tab/>
      </w:r>
      <w:r w:rsidR="001E19B2" w:rsidRPr="00413A14">
        <w:rPr>
          <w:rFonts w:cs="Arial"/>
        </w:rPr>
        <w:t xml:space="preserve">die Bemessungsgrundlage für die </w:t>
      </w:r>
      <w:r w:rsidR="001E19B2" w:rsidRPr="00413A14">
        <w:rPr>
          <w:rFonts w:cs="Arial"/>
          <w:color w:val="000000"/>
        </w:rPr>
        <w:t xml:space="preserve">Lohnzuschläge </w:t>
      </w:r>
      <w:r w:rsidR="003C095B">
        <w:rPr>
          <w:rFonts w:cs="Arial"/>
          <w:color w:val="000000"/>
        </w:rPr>
        <w:t xml:space="preserve">nach </w:t>
      </w:r>
      <w:r w:rsidR="00063609">
        <w:rPr>
          <w:rFonts w:cs="Arial"/>
          <w:color w:val="000000"/>
        </w:rPr>
        <w:t>§ 1 Abs</w:t>
      </w:r>
      <w:r w:rsidR="00AD7393">
        <w:rPr>
          <w:rFonts w:cs="Arial"/>
          <w:color w:val="000000"/>
        </w:rPr>
        <w:t xml:space="preserve">atz </w:t>
      </w:r>
      <w:r w:rsidR="00063609">
        <w:rPr>
          <w:rFonts w:cs="Arial"/>
          <w:color w:val="000000"/>
        </w:rPr>
        <w:t>2 des Tarifvertrages über die Lohnzuschläge gem</w:t>
      </w:r>
      <w:r w:rsidR="00D179E6">
        <w:rPr>
          <w:rFonts w:cs="Arial"/>
          <w:color w:val="000000"/>
        </w:rPr>
        <w:t>äß</w:t>
      </w:r>
      <w:r w:rsidR="001E19B2" w:rsidRPr="00413A14">
        <w:rPr>
          <w:rFonts w:cs="Arial"/>
          <w:color w:val="000000"/>
        </w:rPr>
        <w:t xml:space="preserve"> § 29 MTL II (TVZ zum MTL</w:t>
      </w:r>
      <w:r w:rsidR="003C095B">
        <w:rPr>
          <w:rFonts w:cs="Arial"/>
          <w:color w:val="000000"/>
        </w:rPr>
        <w:t>)</w:t>
      </w:r>
      <w:r w:rsidR="001E19B2" w:rsidRPr="00413A14">
        <w:rPr>
          <w:rFonts w:cs="Arial"/>
          <w:color w:val="000000"/>
        </w:rPr>
        <w:t xml:space="preserve"> vom 9. Oktober 1963</w:t>
      </w:r>
      <w:r w:rsidR="0025170E">
        <w:rPr>
          <w:rFonts w:cs="Arial"/>
          <w:color w:val="000000"/>
        </w:rPr>
        <w:t>,</w:t>
      </w:r>
    </w:p>
    <w:p w14:paraId="5272248D" w14:textId="2E7A0C42" w:rsidR="0025170E" w:rsidRDefault="008328B6" w:rsidP="000E1903">
      <w:pPr>
        <w:spacing w:before="120" w:after="120"/>
        <w:ind w:left="1134" w:hanging="567"/>
        <w:rPr>
          <w:rFonts w:cs="Arial"/>
        </w:rPr>
      </w:pPr>
      <w:r>
        <w:rPr>
          <w:rFonts w:cs="Arial"/>
        </w:rPr>
        <w:t>d</w:t>
      </w:r>
      <w:r w:rsidR="00063609">
        <w:rPr>
          <w:rFonts w:cs="Arial"/>
        </w:rPr>
        <w:t xml:space="preserve">) </w:t>
      </w:r>
      <w:r w:rsidR="00063609">
        <w:rPr>
          <w:rFonts w:cs="Arial"/>
        </w:rPr>
        <w:tab/>
      </w:r>
      <w:r w:rsidR="001E19B2" w:rsidRPr="00413A14">
        <w:rPr>
          <w:rFonts w:cs="Arial"/>
        </w:rPr>
        <w:t>die Besitzstandszula</w:t>
      </w:r>
      <w:r w:rsidR="0025170E">
        <w:rPr>
          <w:rFonts w:cs="Arial"/>
        </w:rPr>
        <w:t>gen nach §§ 9 und 11 TVÜ-Länder,</w:t>
      </w:r>
    </w:p>
    <w:p w14:paraId="7FF12935" w14:textId="44A09F38" w:rsidR="00752723" w:rsidRDefault="00D179E6" w:rsidP="00806F59">
      <w:pPr>
        <w:spacing w:before="120" w:after="120"/>
        <w:ind w:left="1418" w:hanging="851"/>
        <w:rPr>
          <w:rFonts w:cs="Arial"/>
        </w:rPr>
      </w:pPr>
      <w:r w:rsidRPr="00413A14">
        <w:rPr>
          <w:rFonts w:cs="Arial"/>
        </w:rPr>
        <w:t>a</w:t>
      </w:r>
      <w:r>
        <w:rPr>
          <w:rFonts w:cs="Arial"/>
        </w:rPr>
        <w:t>b</w:t>
      </w:r>
      <w:r w:rsidRPr="00413A14">
        <w:rPr>
          <w:rFonts w:cs="Arial"/>
        </w:rPr>
        <w:t xml:space="preserve"> </w:t>
      </w:r>
      <w:r w:rsidR="00752723" w:rsidRPr="00413A14">
        <w:rPr>
          <w:rFonts w:cs="Arial"/>
        </w:rPr>
        <w:t xml:space="preserve">1. </w:t>
      </w:r>
      <w:r w:rsidR="00135350">
        <w:rPr>
          <w:rFonts w:cs="Arial"/>
        </w:rPr>
        <w:t>März</w:t>
      </w:r>
      <w:r w:rsidR="00753D44">
        <w:rPr>
          <w:rFonts w:cs="Arial"/>
        </w:rPr>
        <w:t xml:space="preserve"> 2015</w:t>
      </w:r>
      <w:r w:rsidR="00752723" w:rsidRPr="00413A14">
        <w:rPr>
          <w:rFonts w:cs="Arial"/>
        </w:rPr>
        <w:t xml:space="preserve"> um </w:t>
      </w:r>
      <w:r w:rsidR="00135350">
        <w:rPr>
          <w:rFonts w:cs="Arial"/>
        </w:rPr>
        <w:t>2,1</w:t>
      </w:r>
      <w:r w:rsidR="00752723" w:rsidRPr="00413A14">
        <w:rPr>
          <w:rFonts w:cs="Arial"/>
        </w:rPr>
        <w:t xml:space="preserve"> v.</w:t>
      </w:r>
      <w:r w:rsidR="00975033">
        <w:rPr>
          <w:rFonts w:cs="Arial"/>
        </w:rPr>
        <w:t xml:space="preserve"> </w:t>
      </w:r>
      <w:r w:rsidR="00752723" w:rsidRPr="00413A14">
        <w:rPr>
          <w:rFonts w:cs="Arial"/>
        </w:rPr>
        <w:t xml:space="preserve">H. und </w:t>
      </w:r>
      <w:r w:rsidRPr="00413A14">
        <w:rPr>
          <w:rFonts w:cs="Arial"/>
        </w:rPr>
        <w:t>a</w:t>
      </w:r>
      <w:r>
        <w:rPr>
          <w:rFonts w:cs="Arial"/>
        </w:rPr>
        <w:t>b</w:t>
      </w:r>
      <w:r w:rsidRPr="00413A14">
        <w:rPr>
          <w:rFonts w:cs="Arial"/>
        </w:rPr>
        <w:t xml:space="preserve"> </w:t>
      </w:r>
      <w:r w:rsidR="00752723" w:rsidRPr="00413A14">
        <w:rPr>
          <w:rFonts w:cs="Arial"/>
        </w:rPr>
        <w:t xml:space="preserve">1. </w:t>
      </w:r>
      <w:r w:rsidR="00135350">
        <w:rPr>
          <w:rFonts w:cs="Arial"/>
        </w:rPr>
        <w:t>März</w:t>
      </w:r>
      <w:r w:rsidR="00753D44">
        <w:rPr>
          <w:rFonts w:cs="Arial"/>
        </w:rPr>
        <w:t xml:space="preserve"> 2016</w:t>
      </w:r>
      <w:r w:rsidR="00752723" w:rsidRPr="00413A14">
        <w:rPr>
          <w:rFonts w:cs="Arial"/>
        </w:rPr>
        <w:t xml:space="preserve"> um weitere </w:t>
      </w:r>
      <w:r w:rsidR="00135350">
        <w:rPr>
          <w:rFonts w:cs="Arial"/>
        </w:rPr>
        <w:t>2,</w:t>
      </w:r>
      <w:r w:rsidR="008F08FC">
        <w:rPr>
          <w:rFonts w:cs="Arial"/>
        </w:rPr>
        <w:t>45</w:t>
      </w:r>
      <w:r w:rsidR="00752723" w:rsidRPr="00413A14">
        <w:rPr>
          <w:rFonts w:cs="Arial"/>
        </w:rPr>
        <w:t xml:space="preserve"> v.</w:t>
      </w:r>
      <w:r w:rsidR="00975033">
        <w:rPr>
          <w:rFonts w:cs="Arial"/>
        </w:rPr>
        <w:t xml:space="preserve"> </w:t>
      </w:r>
      <w:r w:rsidR="00752723" w:rsidRPr="00413A14">
        <w:rPr>
          <w:rFonts w:cs="Arial"/>
        </w:rPr>
        <w:t>H.</w:t>
      </w:r>
    </w:p>
    <w:p w14:paraId="61C6DD59" w14:textId="77777777" w:rsidR="00974D82" w:rsidRDefault="00206071" w:rsidP="00806F59">
      <w:pPr>
        <w:spacing w:before="120" w:after="120"/>
        <w:ind w:left="567"/>
        <w:rPr>
          <w:rFonts w:cs="Arial"/>
        </w:rPr>
      </w:pPr>
      <w:r>
        <w:rPr>
          <w:rFonts w:cs="Arial"/>
        </w:rPr>
        <w:t xml:space="preserve">Der Erhöhungssatz nach Nr. 4 der Protokollerklärungen zu § 21 Satz 2 und 3 TV-L beträgt für </w:t>
      </w:r>
    </w:p>
    <w:p w14:paraId="25268C5B" w14:textId="7336F2AD" w:rsidR="00974D82" w:rsidRDefault="00974D82" w:rsidP="005F0DA7">
      <w:pPr>
        <w:spacing w:before="120" w:after="120"/>
        <w:ind w:left="1134" w:hanging="567"/>
        <w:rPr>
          <w:rFonts w:cs="Arial"/>
        </w:rPr>
      </w:pPr>
      <w:r>
        <w:rPr>
          <w:rFonts w:cs="Arial"/>
        </w:rPr>
        <w:t>a)</w:t>
      </w:r>
      <w:r>
        <w:rPr>
          <w:rFonts w:cs="Arial"/>
        </w:rPr>
        <w:tab/>
        <w:t xml:space="preserve">vor dem 1. </w:t>
      </w:r>
      <w:r w:rsidR="00135350">
        <w:rPr>
          <w:rFonts w:cs="Arial"/>
        </w:rPr>
        <w:t>März</w:t>
      </w:r>
      <w:r w:rsidR="00753D44">
        <w:rPr>
          <w:rFonts w:cs="Arial"/>
        </w:rPr>
        <w:t xml:space="preserve"> 2015 </w:t>
      </w:r>
      <w:r>
        <w:rPr>
          <w:rFonts w:cs="Arial"/>
        </w:rPr>
        <w:t>zustehende</w:t>
      </w:r>
      <w:r w:rsidR="00206071">
        <w:rPr>
          <w:rFonts w:cs="Arial"/>
        </w:rPr>
        <w:t xml:space="preserve"> Entgeltbestandteile </w:t>
      </w:r>
      <w:r w:rsidR="00B32779">
        <w:rPr>
          <w:rFonts w:cs="Arial"/>
        </w:rPr>
        <w:t xml:space="preserve">von </w:t>
      </w:r>
      <w:r w:rsidR="00135350">
        <w:rPr>
          <w:rFonts w:cs="Arial"/>
        </w:rPr>
        <w:t>1,89</w:t>
      </w:r>
      <w:r w:rsidR="00B5425F">
        <w:rPr>
          <w:rFonts w:cs="Arial"/>
        </w:rPr>
        <w:t> </w:t>
      </w:r>
      <w:r w:rsidR="00135350">
        <w:rPr>
          <w:rFonts w:cs="Arial"/>
        </w:rPr>
        <w:t>v. H.</w:t>
      </w:r>
      <w:r>
        <w:rPr>
          <w:rFonts w:cs="Arial"/>
        </w:rPr>
        <w:t xml:space="preserve"> und</w:t>
      </w:r>
    </w:p>
    <w:p w14:paraId="52E33D8C" w14:textId="2002A6C5" w:rsidR="00974D82" w:rsidRDefault="00974D82" w:rsidP="005F0DA7">
      <w:pPr>
        <w:spacing w:before="120" w:after="120"/>
        <w:ind w:left="1134" w:hanging="567"/>
        <w:rPr>
          <w:rFonts w:cs="Arial"/>
        </w:rPr>
      </w:pPr>
      <w:r>
        <w:rPr>
          <w:rFonts w:cs="Arial"/>
        </w:rPr>
        <w:t>b)</w:t>
      </w:r>
      <w:r>
        <w:rPr>
          <w:rFonts w:cs="Arial"/>
        </w:rPr>
        <w:tab/>
        <w:t xml:space="preserve">vor dem 1. </w:t>
      </w:r>
      <w:r w:rsidR="00135350">
        <w:rPr>
          <w:rFonts w:cs="Arial"/>
        </w:rPr>
        <w:t>März</w:t>
      </w:r>
      <w:r w:rsidR="00753D44">
        <w:rPr>
          <w:rFonts w:cs="Arial"/>
        </w:rPr>
        <w:t xml:space="preserve"> 2016 </w:t>
      </w:r>
      <w:r>
        <w:rPr>
          <w:rFonts w:cs="Arial"/>
        </w:rPr>
        <w:t>zustehende Entgeltbestandteile</w:t>
      </w:r>
      <w:r w:rsidR="00B32779">
        <w:rPr>
          <w:rFonts w:cs="Arial"/>
        </w:rPr>
        <w:t xml:space="preserve"> von </w:t>
      </w:r>
      <w:r w:rsidR="00135350">
        <w:rPr>
          <w:rFonts w:cs="Arial"/>
        </w:rPr>
        <w:t>2,</w:t>
      </w:r>
      <w:r w:rsidR="00EB369C">
        <w:rPr>
          <w:rFonts w:cs="Arial"/>
        </w:rPr>
        <w:t>21</w:t>
      </w:r>
      <w:r w:rsidR="00B5425F">
        <w:rPr>
          <w:rFonts w:cs="Arial"/>
        </w:rPr>
        <w:t> </w:t>
      </w:r>
      <w:r>
        <w:rPr>
          <w:rFonts w:cs="Arial"/>
        </w:rPr>
        <w:t>v.</w:t>
      </w:r>
      <w:r w:rsidR="00135350">
        <w:rPr>
          <w:rFonts w:cs="Arial"/>
        </w:rPr>
        <w:t> </w:t>
      </w:r>
      <w:r>
        <w:rPr>
          <w:rFonts w:cs="Arial"/>
        </w:rPr>
        <w:t>H.</w:t>
      </w:r>
    </w:p>
    <w:p w14:paraId="71215AC9" w14:textId="4410C333" w:rsidR="004E60FC" w:rsidRDefault="004E60FC" w:rsidP="00806F59">
      <w:pPr>
        <w:spacing w:before="120" w:after="120"/>
        <w:ind w:left="567"/>
        <w:rPr>
          <w:rFonts w:cs="Arial"/>
        </w:rPr>
      </w:pPr>
    </w:p>
    <w:p w14:paraId="27A4C53C" w14:textId="77777777" w:rsidR="0048553D" w:rsidRPr="00413A14" w:rsidRDefault="00A2135A" w:rsidP="00806F59">
      <w:pPr>
        <w:spacing w:before="120" w:after="120"/>
        <w:ind w:left="567" w:hanging="567"/>
        <w:rPr>
          <w:rFonts w:cs="Arial"/>
          <w:b/>
        </w:rPr>
      </w:pPr>
      <w:r w:rsidRPr="00413A14">
        <w:rPr>
          <w:rFonts w:cs="Arial"/>
          <w:b/>
        </w:rPr>
        <w:t xml:space="preserve">4. </w:t>
      </w:r>
      <w:r w:rsidRPr="00413A14">
        <w:rPr>
          <w:rFonts w:cs="Arial"/>
          <w:b/>
        </w:rPr>
        <w:tab/>
      </w:r>
      <w:r w:rsidR="0048553D" w:rsidRPr="00413A14">
        <w:rPr>
          <w:rFonts w:cs="Arial"/>
          <w:b/>
        </w:rPr>
        <w:t>Berlin</w:t>
      </w:r>
    </w:p>
    <w:p w14:paraId="772F5E25" w14:textId="6578ADE9" w:rsidR="00012A08" w:rsidRDefault="00A2135A" w:rsidP="00806F59">
      <w:pPr>
        <w:spacing w:before="120" w:after="120"/>
        <w:ind w:left="567" w:hanging="1"/>
        <w:rPr>
          <w:rFonts w:cs="Arial"/>
        </w:rPr>
      </w:pPr>
      <w:r w:rsidRPr="00413A14">
        <w:rPr>
          <w:rFonts w:cs="Arial"/>
        </w:rPr>
        <w:t xml:space="preserve">Im Land Berlin gelten die Nummern 1 bis 3 mit den Maßgaben des TV Wiederaufnahme Berlin. </w:t>
      </w:r>
    </w:p>
    <w:p w14:paraId="61B4A0DB" w14:textId="77777777" w:rsidR="00012A08" w:rsidRDefault="00012A08">
      <w:pPr>
        <w:rPr>
          <w:rFonts w:cs="Arial"/>
        </w:rPr>
      </w:pPr>
      <w:r>
        <w:rPr>
          <w:rFonts w:cs="Arial"/>
        </w:rPr>
        <w:br w:type="page"/>
      </w:r>
    </w:p>
    <w:p w14:paraId="27602131" w14:textId="5D33CFB0" w:rsidR="00321E29" w:rsidRDefault="00321E29" w:rsidP="00806F59">
      <w:pPr>
        <w:spacing w:before="120" w:after="120"/>
        <w:ind w:left="567" w:hanging="567"/>
        <w:rPr>
          <w:rFonts w:cs="Arial"/>
          <w:b/>
        </w:rPr>
      </w:pPr>
      <w:r>
        <w:rPr>
          <w:rFonts w:cs="Arial"/>
          <w:b/>
        </w:rPr>
        <w:lastRenderedPageBreak/>
        <w:t>I</w:t>
      </w:r>
      <w:r w:rsidR="00006B79">
        <w:rPr>
          <w:rFonts w:cs="Arial"/>
          <w:b/>
        </w:rPr>
        <w:t>I</w:t>
      </w:r>
      <w:r>
        <w:rPr>
          <w:rFonts w:cs="Arial"/>
          <w:b/>
        </w:rPr>
        <w:t xml:space="preserve">. </w:t>
      </w:r>
      <w:r>
        <w:rPr>
          <w:rFonts w:cs="Arial"/>
          <w:b/>
        </w:rPr>
        <w:tab/>
        <w:t>Zusatzversorgung</w:t>
      </w:r>
    </w:p>
    <w:p w14:paraId="2DE62414" w14:textId="078387C3" w:rsidR="00F77C42" w:rsidRPr="00663735" w:rsidRDefault="00AD7393" w:rsidP="00806F59">
      <w:pPr>
        <w:spacing w:before="120" w:after="120"/>
        <w:ind w:left="567"/>
        <w:rPr>
          <w:rFonts w:cs="Arial"/>
          <w:i/>
        </w:rPr>
      </w:pPr>
      <w:r>
        <w:rPr>
          <w:rFonts w:cs="Arial"/>
        </w:rPr>
        <w:t xml:space="preserve">Die Tarifvertragsparteien treffen die sich aus der </w:t>
      </w:r>
      <w:r w:rsidRPr="007A60BE">
        <w:rPr>
          <w:rFonts w:cs="Arial"/>
          <w:u w:val="single"/>
        </w:rPr>
        <w:t xml:space="preserve">Anlage </w:t>
      </w:r>
      <w:r w:rsidR="004B1B0A">
        <w:rPr>
          <w:rFonts w:cs="Arial"/>
          <w:u w:val="single"/>
        </w:rPr>
        <w:t>1</w:t>
      </w:r>
      <w:r>
        <w:rPr>
          <w:rFonts w:cs="Arial"/>
        </w:rPr>
        <w:t xml:space="preserve"> ergebende Vereinbarung.</w:t>
      </w:r>
    </w:p>
    <w:p w14:paraId="7102CD7B" w14:textId="77777777" w:rsidR="00663735" w:rsidRDefault="00663735" w:rsidP="00806F59">
      <w:pPr>
        <w:spacing w:before="120" w:after="120"/>
        <w:ind w:left="567" w:hanging="567"/>
        <w:rPr>
          <w:rFonts w:cs="Arial"/>
          <w:b/>
        </w:rPr>
      </w:pPr>
    </w:p>
    <w:p w14:paraId="1391ED0F" w14:textId="2C0A2151" w:rsidR="000A178F" w:rsidRPr="00960183" w:rsidRDefault="00006B79" w:rsidP="00806F59">
      <w:pPr>
        <w:spacing w:before="120" w:after="120"/>
        <w:ind w:left="567" w:hanging="567"/>
        <w:rPr>
          <w:rFonts w:cs="Arial"/>
          <w:b/>
        </w:rPr>
      </w:pPr>
      <w:r>
        <w:rPr>
          <w:rFonts w:cs="Arial"/>
          <w:b/>
        </w:rPr>
        <w:t>I</w:t>
      </w:r>
      <w:r w:rsidR="00EE78CB">
        <w:rPr>
          <w:rFonts w:cs="Arial"/>
          <w:b/>
        </w:rPr>
        <w:t>II</w:t>
      </w:r>
      <w:r w:rsidR="00321E29">
        <w:rPr>
          <w:rFonts w:cs="Arial"/>
          <w:b/>
        </w:rPr>
        <w:t xml:space="preserve">. </w:t>
      </w:r>
      <w:r w:rsidR="001F3426">
        <w:rPr>
          <w:rFonts w:cs="Arial"/>
          <w:b/>
        </w:rPr>
        <w:tab/>
      </w:r>
      <w:r w:rsidR="009A2416" w:rsidRPr="00960183">
        <w:rPr>
          <w:rFonts w:cs="Arial"/>
          <w:b/>
        </w:rPr>
        <w:t>Sonstiges</w:t>
      </w:r>
      <w:r w:rsidR="00A1585A" w:rsidRPr="00960183">
        <w:rPr>
          <w:rFonts w:cs="Arial"/>
          <w:b/>
        </w:rPr>
        <w:t xml:space="preserve"> </w:t>
      </w:r>
      <w:r w:rsidR="00891646" w:rsidRPr="00960183">
        <w:rPr>
          <w:rFonts w:cs="Arial"/>
          <w:b/>
        </w:rPr>
        <w:t>Tarif</w:t>
      </w:r>
      <w:r w:rsidR="00A1585A" w:rsidRPr="00960183">
        <w:rPr>
          <w:rFonts w:cs="Arial"/>
          <w:b/>
        </w:rPr>
        <w:t>recht</w:t>
      </w:r>
      <w:r w:rsidR="00127BAB" w:rsidRPr="00960183">
        <w:rPr>
          <w:rFonts w:cs="Arial"/>
          <w:b/>
        </w:rPr>
        <w:t xml:space="preserve"> </w:t>
      </w:r>
    </w:p>
    <w:p w14:paraId="785164A1" w14:textId="40DE2E4F" w:rsidR="007A60BE" w:rsidRPr="00960183" w:rsidRDefault="007A60BE" w:rsidP="00361ED4">
      <w:pPr>
        <w:spacing w:before="120" w:after="120"/>
        <w:ind w:left="567" w:hanging="567"/>
        <w:rPr>
          <w:rFonts w:cs="Arial"/>
          <w:b/>
        </w:rPr>
      </w:pPr>
      <w:r>
        <w:rPr>
          <w:rFonts w:cs="Arial"/>
          <w:b/>
        </w:rPr>
        <w:t>1.</w:t>
      </w:r>
      <w:r>
        <w:rPr>
          <w:rFonts w:cs="Arial"/>
          <w:b/>
        </w:rPr>
        <w:tab/>
        <w:t xml:space="preserve">Geltungsbereich des TV-L für Beschäftigte an </w:t>
      </w:r>
      <w:r w:rsidRPr="00960183">
        <w:rPr>
          <w:rFonts w:cs="Arial"/>
          <w:b/>
        </w:rPr>
        <w:t>Theater</w:t>
      </w:r>
      <w:r>
        <w:rPr>
          <w:rFonts w:cs="Arial"/>
          <w:b/>
        </w:rPr>
        <w:t>n</w:t>
      </w:r>
      <w:r w:rsidRPr="00960183">
        <w:rPr>
          <w:rFonts w:cs="Arial"/>
          <w:b/>
        </w:rPr>
        <w:t xml:space="preserve"> und Bühnen</w:t>
      </w:r>
    </w:p>
    <w:p w14:paraId="658E6A93" w14:textId="6E2BBA7F" w:rsidR="007A60BE" w:rsidRDefault="007A60BE" w:rsidP="007A60BE">
      <w:pPr>
        <w:spacing w:before="120" w:after="120"/>
        <w:ind w:left="567"/>
        <w:rPr>
          <w:rFonts w:cs="Arial"/>
        </w:rPr>
      </w:pPr>
      <w:r>
        <w:rPr>
          <w:rFonts w:cs="Arial"/>
        </w:rPr>
        <w:t xml:space="preserve">Der Geltungsbereich des TV-L für Beschäftigte an Theatern und Bühnen wird entsprechend </w:t>
      </w:r>
      <w:r w:rsidRPr="007A60BE">
        <w:rPr>
          <w:rFonts w:cs="Arial"/>
          <w:u w:val="single"/>
        </w:rPr>
        <w:t>Anla</w:t>
      </w:r>
      <w:bookmarkStart w:id="0" w:name="_GoBack"/>
      <w:bookmarkEnd w:id="0"/>
      <w:r w:rsidRPr="007A60BE">
        <w:rPr>
          <w:rFonts w:cs="Arial"/>
          <w:u w:val="single"/>
        </w:rPr>
        <w:t xml:space="preserve">ge </w:t>
      </w:r>
      <w:r w:rsidR="004B1B0A">
        <w:rPr>
          <w:rFonts w:cs="Arial"/>
          <w:u w:val="single"/>
        </w:rPr>
        <w:t>2</w:t>
      </w:r>
      <w:r>
        <w:rPr>
          <w:rFonts w:cs="Arial"/>
        </w:rPr>
        <w:t xml:space="preserve"> angepasst. </w:t>
      </w:r>
    </w:p>
    <w:p w14:paraId="239B6D6F" w14:textId="77777777" w:rsidR="007A60BE" w:rsidRPr="00960183" w:rsidRDefault="007A60BE" w:rsidP="007A60BE">
      <w:pPr>
        <w:spacing w:before="120" w:after="120"/>
        <w:ind w:left="360"/>
        <w:rPr>
          <w:rFonts w:cs="Arial"/>
        </w:rPr>
      </w:pPr>
    </w:p>
    <w:p w14:paraId="1CC2019C" w14:textId="746818FB" w:rsidR="007A60BE" w:rsidRPr="00960183" w:rsidRDefault="007A60BE" w:rsidP="00361ED4">
      <w:pPr>
        <w:spacing w:before="120" w:after="120"/>
        <w:ind w:left="567" w:hanging="567"/>
        <w:rPr>
          <w:rFonts w:cs="Arial"/>
          <w:b/>
        </w:rPr>
      </w:pPr>
      <w:r>
        <w:rPr>
          <w:rFonts w:cs="Arial"/>
          <w:b/>
        </w:rPr>
        <w:t>2.</w:t>
      </w:r>
      <w:r>
        <w:rPr>
          <w:rFonts w:cs="Arial"/>
          <w:b/>
        </w:rPr>
        <w:tab/>
      </w:r>
      <w:r w:rsidRPr="00960183">
        <w:rPr>
          <w:rFonts w:cs="Arial"/>
          <w:b/>
        </w:rPr>
        <w:t>Befristete Arbeitsverhältnisse</w:t>
      </w:r>
    </w:p>
    <w:p w14:paraId="59C47FAF" w14:textId="069ED4D0" w:rsidR="007A60BE" w:rsidRPr="00960183" w:rsidRDefault="007A60BE" w:rsidP="007A60BE">
      <w:pPr>
        <w:spacing w:before="120" w:after="120"/>
        <w:ind w:left="567"/>
        <w:rPr>
          <w:rFonts w:cs="Arial"/>
        </w:rPr>
      </w:pPr>
      <w:r>
        <w:rPr>
          <w:rFonts w:cs="Arial"/>
        </w:rPr>
        <w:t>Sobald die Ergebnisse der Untersuchung von Bund und Gewerkschaften zu den befristeten Beschäftigungsverhältnissen im öffentlichen Dienst vorliegen, werden die Tarifvertragsparteien diese bewerten</w:t>
      </w:r>
      <w:r w:rsidR="00453E5C">
        <w:rPr>
          <w:rFonts w:cs="Arial"/>
        </w:rPr>
        <w:t>,</w:t>
      </w:r>
      <w:r>
        <w:rPr>
          <w:rFonts w:cs="Arial"/>
        </w:rPr>
        <w:t xml:space="preserve"> ihre Gespräche über die Befristungspraxis im Länderbereich fortsetzen</w:t>
      </w:r>
      <w:r w:rsidR="00453E5C">
        <w:rPr>
          <w:rFonts w:cs="Arial"/>
        </w:rPr>
        <w:t xml:space="preserve"> und erkannten Handlungsbedarf gegebenenfalls auch vor den nächsten Entgeltverhandlungen umsetzen</w:t>
      </w:r>
      <w:r>
        <w:rPr>
          <w:rFonts w:cs="Arial"/>
        </w:rPr>
        <w:t>.</w:t>
      </w:r>
      <w:r w:rsidRPr="00960183">
        <w:rPr>
          <w:rFonts w:cs="Arial"/>
        </w:rPr>
        <w:t xml:space="preserve"> </w:t>
      </w:r>
    </w:p>
    <w:p w14:paraId="62633763" w14:textId="77777777" w:rsidR="007A60BE" w:rsidRDefault="007A60BE" w:rsidP="007A60BE">
      <w:pPr>
        <w:spacing w:before="120" w:after="120"/>
        <w:rPr>
          <w:rFonts w:cs="Arial"/>
        </w:rPr>
      </w:pPr>
    </w:p>
    <w:p w14:paraId="60401836" w14:textId="01A863CD" w:rsidR="00602378" w:rsidRDefault="007A60BE" w:rsidP="00806F59">
      <w:pPr>
        <w:spacing w:before="120" w:after="120"/>
        <w:ind w:left="567" w:hanging="567"/>
        <w:rPr>
          <w:rFonts w:cs="Arial"/>
          <w:b/>
        </w:rPr>
      </w:pPr>
      <w:r>
        <w:rPr>
          <w:rFonts w:cs="Arial"/>
          <w:b/>
        </w:rPr>
        <w:t>3</w:t>
      </w:r>
      <w:r w:rsidR="009A2416" w:rsidRPr="00960183">
        <w:rPr>
          <w:rFonts w:cs="Arial"/>
          <w:b/>
        </w:rPr>
        <w:t>.</w:t>
      </w:r>
      <w:r w:rsidR="00602378" w:rsidRPr="00960183">
        <w:rPr>
          <w:rFonts w:cs="Arial"/>
          <w:b/>
        </w:rPr>
        <w:tab/>
      </w:r>
      <w:r w:rsidR="007E707F">
        <w:rPr>
          <w:rFonts w:cs="Arial"/>
          <w:b/>
        </w:rPr>
        <w:t xml:space="preserve">Erhöhung des Nachtarbeitszuschlags in Krankenhäusern </w:t>
      </w:r>
    </w:p>
    <w:p w14:paraId="15EDBF90" w14:textId="37EF0CC8" w:rsidR="007E707F" w:rsidRDefault="00975033" w:rsidP="00806F59">
      <w:pPr>
        <w:spacing w:before="120" w:after="120"/>
        <w:ind w:left="567"/>
        <w:rPr>
          <w:rFonts w:cs="Arial"/>
        </w:rPr>
      </w:pPr>
      <w:r>
        <w:rPr>
          <w:rFonts w:cs="Arial"/>
        </w:rPr>
        <w:t xml:space="preserve">§ 8 Absatz 1 in der Fassung von </w:t>
      </w:r>
      <w:r w:rsidR="004B1B0A">
        <w:rPr>
          <w:rFonts w:cs="Arial"/>
        </w:rPr>
        <w:t xml:space="preserve">§ 41 Nr. 5 Ziffer 1, § 8 Absatz 1 in der Fassung von § 42 Nr. 6 Ziffer 1 und § 8 Absatz 1 in der Fassung von § 43 Nummer 5 Ziffer 1 </w:t>
      </w:r>
      <w:r w:rsidR="007E707F">
        <w:rPr>
          <w:rFonts w:cs="Arial"/>
        </w:rPr>
        <w:t>w</w:t>
      </w:r>
      <w:r w:rsidR="004B1B0A">
        <w:rPr>
          <w:rFonts w:cs="Arial"/>
        </w:rPr>
        <w:t xml:space="preserve">erden </w:t>
      </w:r>
      <w:r w:rsidR="007E707F">
        <w:rPr>
          <w:rFonts w:cs="Arial"/>
        </w:rPr>
        <w:t xml:space="preserve">wie folgt geändert: </w:t>
      </w:r>
    </w:p>
    <w:p w14:paraId="5CDAB906" w14:textId="77777777" w:rsidR="007E707F" w:rsidRDefault="002170CA" w:rsidP="00806F59">
      <w:pPr>
        <w:numPr>
          <w:ilvl w:val="0"/>
          <w:numId w:val="25"/>
        </w:numPr>
        <w:spacing w:before="120" w:after="120"/>
        <w:ind w:left="1134" w:hanging="567"/>
        <w:rPr>
          <w:rFonts w:cs="Arial"/>
        </w:rPr>
      </w:pPr>
      <w:r>
        <w:rPr>
          <w:rFonts w:cs="Arial"/>
        </w:rPr>
        <w:t>Satz 2 Buchst</w:t>
      </w:r>
      <w:r w:rsidR="00F2421A">
        <w:rPr>
          <w:rFonts w:cs="Arial"/>
        </w:rPr>
        <w:t>abe</w:t>
      </w:r>
      <w:r>
        <w:rPr>
          <w:rFonts w:cs="Arial"/>
        </w:rPr>
        <w:t xml:space="preserve"> b </w:t>
      </w:r>
      <w:r w:rsidR="00663735">
        <w:rPr>
          <w:rFonts w:cs="Arial"/>
        </w:rPr>
        <w:t>erhält folgende Fassung:</w:t>
      </w:r>
    </w:p>
    <w:p w14:paraId="4DF9007B" w14:textId="77777777" w:rsidR="00663735" w:rsidRDefault="00663735" w:rsidP="00806F59">
      <w:pPr>
        <w:spacing w:before="120" w:after="120"/>
        <w:ind w:left="1701" w:hanging="567"/>
        <w:rPr>
          <w:rFonts w:cs="Arial"/>
        </w:rPr>
      </w:pPr>
      <w:r>
        <w:rPr>
          <w:rFonts w:cs="Arial"/>
        </w:rPr>
        <w:t>„b)</w:t>
      </w:r>
      <w:r w:rsidR="00975033">
        <w:rPr>
          <w:rFonts w:cs="Arial"/>
        </w:rPr>
        <w:tab/>
      </w:r>
      <w:r>
        <w:rPr>
          <w:rFonts w:cs="Arial"/>
        </w:rPr>
        <w:t>für Nachtarbeit</w:t>
      </w:r>
      <w:r w:rsidR="00975033">
        <w:rPr>
          <w:rFonts w:cs="Arial"/>
        </w:rPr>
        <w:tab/>
      </w:r>
      <w:r w:rsidR="00975033">
        <w:rPr>
          <w:rFonts w:cs="Arial"/>
        </w:rPr>
        <w:tab/>
      </w:r>
      <w:r>
        <w:rPr>
          <w:rFonts w:cs="Arial"/>
        </w:rPr>
        <w:t>20 v.</w:t>
      </w:r>
      <w:r w:rsidR="00975033">
        <w:rPr>
          <w:rFonts w:cs="Arial"/>
        </w:rPr>
        <w:t xml:space="preserve"> </w:t>
      </w:r>
      <w:r>
        <w:rPr>
          <w:rFonts w:cs="Arial"/>
        </w:rPr>
        <w:t>H.,“</w:t>
      </w:r>
    </w:p>
    <w:p w14:paraId="64945EB3" w14:textId="77777777" w:rsidR="00D05624" w:rsidRDefault="002170CA" w:rsidP="00806F59">
      <w:pPr>
        <w:numPr>
          <w:ilvl w:val="0"/>
          <w:numId w:val="25"/>
        </w:numPr>
        <w:spacing w:before="120" w:after="120"/>
        <w:ind w:left="1134" w:hanging="567"/>
        <w:rPr>
          <w:rFonts w:cs="Arial"/>
        </w:rPr>
      </w:pPr>
      <w:r>
        <w:rPr>
          <w:rFonts w:cs="Arial"/>
        </w:rPr>
        <w:t>In Satz 2 werden die Worte „Buchstaben a, b 2. Alternative und c bis e“ durch die Worte „Buchstaben a bis e“ ersetzt.</w:t>
      </w:r>
    </w:p>
    <w:p w14:paraId="370C340B" w14:textId="343C9A31" w:rsidR="00BC7CFD" w:rsidRPr="008F08FC" w:rsidRDefault="008F08FC" w:rsidP="008F08FC">
      <w:pPr>
        <w:spacing w:before="120" w:after="120"/>
        <w:ind w:left="567"/>
        <w:rPr>
          <w:rFonts w:cs="Arial"/>
        </w:rPr>
      </w:pPr>
      <w:r w:rsidRPr="008F08FC">
        <w:rPr>
          <w:rFonts w:cs="Arial"/>
        </w:rPr>
        <w:t>Für Auszubildende beträgt der Nachtarbeitszuschlag mindestens 1,28 Euro.</w:t>
      </w:r>
    </w:p>
    <w:p w14:paraId="63C4F9CD" w14:textId="77777777" w:rsidR="008F08FC" w:rsidRDefault="008F08FC" w:rsidP="00BC7CFD">
      <w:pPr>
        <w:spacing w:before="120" w:after="120"/>
        <w:ind w:left="567" w:hanging="567"/>
        <w:rPr>
          <w:rFonts w:cs="Arial"/>
          <w:b/>
        </w:rPr>
      </w:pPr>
    </w:p>
    <w:p w14:paraId="6A35482F" w14:textId="4614795B" w:rsidR="00BC7CFD" w:rsidRDefault="00135350" w:rsidP="00BC7CFD">
      <w:pPr>
        <w:spacing w:before="120" w:after="120"/>
        <w:ind w:left="567" w:hanging="567"/>
        <w:rPr>
          <w:rFonts w:cs="Arial"/>
          <w:b/>
        </w:rPr>
      </w:pPr>
      <w:r>
        <w:rPr>
          <w:rFonts w:cs="Arial"/>
          <w:b/>
        </w:rPr>
        <w:t>4</w:t>
      </w:r>
      <w:r w:rsidR="00BC7CFD">
        <w:rPr>
          <w:rFonts w:cs="Arial"/>
          <w:b/>
        </w:rPr>
        <w:t>.</w:t>
      </w:r>
      <w:r w:rsidR="00BC7CFD">
        <w:rPr>
          <w:rFonts w:cs="Arial"/>
          <w:b/>
        </w:rPr>
        <w:tab/>
        <w:t>Jahressonderzahlung im Tarifgebiet Ost</w:t>
      </w:r>
    </w:p>
    <w:p w14:paraId="696CAF26" w14:textId="19091CA7" w:rsidR="00BC7CFD" w:rsidRDefault="00BC7CFD" w:rsidP="00BC7CFD">
      <w:pPr>
        <w:spacing w:before="120" w:after="120"/>
        <w:ind w:left="567"/>
        <w:rPr>
          <w:rFonts w:cs="Arial"/>
        </w:rPr>
      </w:pPr>
      <w:r>
        <w:rPr>
          <w:rFonts w:cs="Arial"/>
        </w:rPr>
        <w:t xml:space="preserve">Der Bemessungssatz für die Jahressonderzahlung nach § 20 Absatz 2 Satz </w:t>
      </w:r>
      <w:r w:rsidR="00BB629B">
        <w:rPr>
          <w:rFonts w:cs="Arial"/>
        </w:rPr>
        <w:t xml:space="preserve">1 </w:t>
      </w:r>
      <w:r>
        <w:rPr>
          <w:rFonts w:cs="Arial"/>
        </w:rPr>
        <w:t xml:space="preserve">TV-L </w:t>
      </w:r>
      <w:r w:rsidR="00BB629B">
        <w:rPr>
          <w:rFonts w:cs="Arial"/>
        </w:rPr>
        <w:t>beträgt im</w:t>
      </w:r>
      <w:r>
        <w:rPr>
          <w:rFonts w:cs="Arial"/>
        </w:rPr>
        <w:t xml:space="preserve"> </w:t>
      </w:r>
      <w:r w:rsidR="00BB629B">
        <w:rPr>
          <w:rFonts w:cs="Arial"/>
        </w:rPr>
        <w:t>T</w:t>
      </w:r>
      <w:r>
        <w:rPr>
          <w:rFonts w:cs="Arial"/>
        </w:rPr>
        <w:t>arifgebiet Ost:</w:t>
      </w:r>
    </w:p>
    <w:tbl>
      <w:tblPr>
        <w:tblStyle w:val="Tabellenraster"/>
        <w:tblW w:w="8791" w:type="dxa"/>
        <w:tblInd w:w="567" w:type="dxa"/>
        <w:tblLook w:val="04A0" w:firstRow="1" w:lastRow="0" w:firstColumn="1" w:lastColumn="0" w:noHBand="0" w:noVBand="1"/>
      </w:tblPr>
      <w:tblGrid>
        <w:gridCol w:w="1696"/>
        <w:gridCol w:w="1419"/>
        <w:gridCol w:w="1419"/>
        <w:gridCol w:w="1419"/>
        <w:gridCol w:w="1419"/>
        <w:gridCol w:w="1419"/>
      </w:tblGrid>
      <w:tr w:rsidR="00BC7CFD" w:rsidRPr="00BB629B" w14:paraId="2B6D1F54" w14:textId="77777777" w:rsidTr="00BB629B">
        <w:tc>
          <w:tcPr>
            <w:tcW w:w="1696" w:type="dxa"/>
          </w:tcPr>
          <w:p w14:paraId="765AB329" w14:textId="7431466D" w:rsidR="00BC7CFD" w:rsidRPr="00BB629B" w:rsidRDefault="00BB629B" w:rsidP="00BC7CFD">
            <w:pPr>
              <w:spacing w:before="120" w:after="120"/>
              <w:rPr>
                <w:rFonts w:cs="Arial"/>
                <w:b/>
                <w:sz w:val="20"/>
                <w:szCs w:val="20"/>
              </w:rPr>
            </w:pPr>
            <w:r>
              <w:rPr>
                <w:rFonts w:cs="Arial"/>
                <w:b/>
                <w:sz w:val="20"/>
                <w:szCs w:val="20"/>
              </w:rPr>
              <w:t>Entgeltgruppe</w:t>
            </w:r>
          </w:p>
        </w:tc>
        <w:tc>
          <w:tcPr>
            <w:tcW w:w="1419" w:type="dxa"/>
          </w:tcPr>
          <w:p w14:paraId="109812A0" w14:textId="2E04934D" w:rsidR="00BC7CFD" w:rsidRPr="00BB629B" w:rsidRDefault="00BC7CFD" w:rsidP="00BC7CFD">
            <w:pPr>
              <w:spacing w:before="120" w:after="120"/>
              <w:jc w:val="center"/>
              <w:rPr>
                <w:rFonts w:cs="Arial"/>
                <w:b/>
                <w:sz w:val="20"/>
                <w:szCs w:val="20"/>
              </w:rPr>
            </w:pPr>
            <w:r w:rsidRPr="00BB629B">
              <w:rPr>
                <w:rFonts w:cs="Arial"/>
                <w:b/>
                <w:sz w:val="20"/>
                <w:szCs w:val="20"/>
              </w:rPr>
              <w:t>2015</w:t>
            </w:r>
          </w:p>
        </w:tc>
        <w:tc>
          <w:tcPr>
            <w:tcW w:w="1419" w:type="dxa"/>
          </w:tcPr>
          <w:p w14:paraId="350F38CD" w14:textId="0093C1E6" w:rsidR="00BC7CFD" w:rsidRPr="00BB629B" w:rsidRDefault="00BC7CFD" w:rsidP="00BC7CFD">
            <w:pPr>
              <w:spacing w:before="120" w:after="120"/>
              <w:jc w:val="center"/>
              <w:rPr>
                <w:rFonts w:cs="Arial"/>
                <w:b/>
                <w:sz w:val="20"/>
                <w:szCs w:val="20"/>
              </w:rPr>
            </w:pPr>
            <w:r w:rsidRPr="00BB629B">
              <w:rPr>
                <w:rFonts w:cs="Arial"/>
                <w:b/>
                <w:sz w:val="20"/>
                <w:szCs w:val="20"/>
              </w:rPr>
              <w:t>2016</w:t>
            </w:r>
          </w:p>
        </w:tc>
        <w:tc>
          <w:tcPr>
            <w:tcW w:w="1419" w:type="dxa"/>
          </w:tcPr>
          <w:p w14:paraId="2402DE8D" w14:textId="3F824EA0" w:rsidR="00BC7CFD" w:rsidRPr="00BB629B" w:rsidRDefault="00BC7CFD" w:rsidP="00BC7CFD">
            <w:pPr>
              <w:spacing w:before="120" w:after="120"/>
              <w:jc w:val="center"/>
              <w:rPr>
                <w:rFonts w:cs="Arial"/>
                <w:b/>
                <w:sz w:val="20"/>
                <w:szCs w:val="20"/>
              </w:rPr>
            </w:pPr>
            <w:r w:rsidRPr="00BB629B">
              <w:rPr>
                <w:rFonts w:cs="Arial"/>
                <w:b/>
                <w:sz w:val="20"/>
                <w:szCs w:val="20"/>
              </w:rPr>
              <w:t>2017</w:t>
            </w:r>
          </w:p>
        </w:tc>
        <w:tc>
          <w:tcPr>
            <w:tcW w:w="1419" w:type="dxa"/>
          </w:tcPr>
          <w:p w14:paraId="1D20850A" w14:textId="050F2134" w:rsidR="00BC7CFD" w:rsidRPr="00BB629B" w:rsidRDefault="00BC7CFD" w:rsidP="00BC7CFD">
            <w:pPr>
              <w:spacing w:before="120" w:after="120"/>
              <w:jc w:val="center"/>
              <w:rPr>
                <w:rFonts w:cs="Arial"/>
                <w:b/>
                <w:sz w:val="20"/>
                <w:szCs w:val="20"/>
              </w:rPr>
            </w:pPr>
            <w:r w:rsidRPr="00BB629B">
              <w:rPr>
                <w:rFonts w:cs="Arial"/>
                <w:b/>
                <w:sz w:val="20"/>
                <w:szCs w:val="20"/>
              </w:rPr>
              <w:t>2018</w:t>
            </w:r>
          </w:p>
        </w:tc>
        <w:tc>
          <w:tcPr>
            <w:tcW w:w="1419" w:type="dxa"/>
          </w:tcPr>
          <w:p w14:paraId="039CA4DB" w14:textId="3D7F74D2" w:rsidR="00BC7CFD" w:rsidRPr="00BB629B" w:rsidRDefault="00BC7CFD" w:rsidP="00BC7CFD">
            <w:pPr>
              <w:spacing w:before="120" w:after="120"/>
              <w:jc w:val="center"/>
              <w:rPr>
                <w:rFonts w:cs="Arial"/>
                <w:b/>
                <w:sz w:val="20"/>
                <w:szCs w:val="20"/>
              </w:rPr>
            </w:pPr>
            <w:r w:rsidRPr="00BB629B">
              <w:rPr>
                <w:rFonts w:cs="Arial"/>
                <w:b/>
                <w:sz w:val="20"/>
                <w:szCs w:val="20"/>
              </w:rPr>
              <w:t>ab 2019</w:t>
            </w:r>
          </w:p>
        </w:tc>
      </w:tr>
      <w:tr w:rsidR="00BC7CFD" w:rsidRPr="00BC7CFD" w14:paraId="2B41BFB0" w14:textId="77777777" w:rsidTr="00BB629B">
        <w:tc>
          <w:tcPr>
            <w:tcW w:w="1696" w:type="dxa"/>
          </w:tcPr>
          <w:p w14:paraId="1457B515" w14:textId="79309EE5" w:rsidR="00BC7CFD" w:rsidRPr="00BC7CFD" w:rsidRDefault="00BC7CFD" w:rsidP="00BC7CFD">
            <w:pPr>
              <w:spacing w:before="120" w:after="120"/>
              <w:rPr>
                <w:rFonts w:cs="Arial"/>
                <w:sz w:val="20"/>
                <w:szCs w:val="20"/>
              </w:rPr>
            </w:pPr>
            <w:r w:rsidRPr="00BC7CFD">
              <w:rPr>
                <w:rFonts w:cs="Arial"/>
                <w:sz w:val="20"/>
                <w:szCs w:val="20"/>
              </w:rPr>
              <w:t>E 1 bis E 8</w:t>
            </w:r>
          </w:p>
        </w:tc>
        <w:tc>
          <w:tcPr>
            <w:tcW w:w="1419" w:type="dxa"/>
          </w:tcPr>
          <w:p w14:paraId="03CA98C3" w14:textId="029D537B" w:rsidR="00BC7CFD" w:rsidRPr="00BC7CFD" w:rsidRDefault="00BC7CFD" w:rsidP="00BC7CFD">
            <w:pPr>
              <w:spacing w:before="120" w:after="120"/>
              <w:jc w:val="center"/>
              <w:rPr>
                <w:rFonts w:cs="Arial"/>
                <w:sz w:val="20"/>
                <w:szCs w:val="20"/>
              </w:rPr>
            </w:pPr>
            <w:r>
              <w:rPr>
                <w:rFonts w:cs="Arial"/>
                <w:sz w:val="20"/>
                <w:szCs w:val="20"/>
              </w:rPr>
              <w:t>76,2 v. H.</w:t>
            </w:r>
          </w:p>
        </w:tc>
        <w:tc>
          <w:tcPr>
            <w:tcW w:w="1419" w:type="dxa"/>
          </w:tcPr>
          <w:p w14:paraId="0E5311D0" w14:textId="244A4196" w:rsidR="00BC7CFD" w:rsidRPr="00BC7CFD" w:rsidRDefault="00BC7CFD" w:rsidP="00BC7CFD">
            <w:pPr>
              <w:spacing w:before="120" w:after="120"/>
              <w:jc w:val="center"/>
              <w:rPr>
                <w:rFonts w:cs="Arial"/>
                <w:sz w:val="20"/>
                <w:szCs w:val="20"/>
              </w:rPr>
            </w:pPr>
            <w:r>
              <w:rPr>
                <w:rFonts w:cs="Arial"/>
                <w:sz w:val="20"/>
                <w:szCs w:val="20"/>
              </w:rPr>
              <w:t>80,9 v. H.</w:t>
            </w:r>
          </w:p>
        </w:tc>
        <w:tc>
          <w:tcPr>
            <w:tcW w:w="1419" w:type="dxa"/>
          </w:tcPr>
          <w:p w14:paraId="23DF090B" w14:textId="3078FBD5" w:rsidR="00BC7CFD" w:rsidRPr="00BC7CFD" w:rsidRDefault="00BC7CFD" w:rsidP="00BC7CFD">
            <w:pPr>
              <w:spacing w:before="120" w:after="120"/>
              <w:jc w:val="center"/>
              <w:rPr>
                <w:rFonts w:cs="Arial"/>
                <w:sz w:val="20"/>
                <w:szCs w:val="20"/>
              </w:rPr>
            </w:pPr>
            <w:r>
              <w:rPr>
                <w:rFonts w:cs="Arial"/>
                <w:sz w:val="20"/>
                <w:szCs w:val="20"/>
              </w:rPr>
              <w:t>85,6 v. H.</w:t>
            </w:r>
          </w:p>
        </w:tc>
        <w:tc>
          <w:tcPr>
            <w:tcW w:w="1419" w:type="dxa"/>
          </w:tcPr>
          <w:p w14:paraId="3E6AB27A" w14:textId="0B176BDB" w:rsidR="00BC7CFD" w:rsidRPr="00BC7CFD" w:rsidRDefault="00BC7CFD" w:rsidP="00BC7CFD">
            <w:pPr>
              <w:spacing w:before="120" w:after="120"/>
              <w:jc w:val="center"/>
              <w:rPr>
                <w:rFonts w:cs="Arial"/>
                <w:sz w:val="20"/>
                <w:szCs w:val="20"/>
              </w:rPr>
            </w:pPr>
            <w:r>
              <w:rPr>
                <w:rFonts w:cs="Arial"/>
                <w:sz w:val="20"/>
                <w:szCs w:val="20"/>
              </w:rPr>
              <w:t>90,3 v. H.</w:t>
            </w:r>
          </w:p>
        </w:tc>
        <w:tc>
          <w:tcPr>
            <w:tcW w:w="1419" w:type="dxa"/>
          </w:tcPr>
          <w:p w14:paraId="1E4DD71A" w14:textId="71EB12FB" w:rsidR="00BC7CFD" w:rsidRPr="00BC7CFD" w:rsidRDefault="00BC7CFD" w:rsidP="00BC7CFD">
            <w:pPr>
              <w:spacing w:before="120" w:after="120"/>
              <w:jc w:val="center"/>
              <w:rPr>
                <w:rFonts w:cs="Arial"/>
                <w:sz w:val="20"/>
                <w:szCs w:val="20"/>
              </w:rPr>
            </w:pPr>
            <w:r>
              <w:rPr>
                <w:rFonts w:cs="Arial"/>
                <w:sz w:val="20"/>
                <w:szCs w:val="20"/>
              </w:rPr>
              <w:t>95,0 v. H.</w:t>
            </w:r>
          </w:p>
        </w:tc>
      </w:tr>
      <w:tr w:rsidR="00BC7CFD" w:rsidRPr="00BC7CFD" w14:paraId="7776D0B0" w14:textId="77777777" w:rsidTr="00BB629B">
        <w:tc>
          <w:tcPr>
            <w:tcW w:w="1696" w:type="dxa"/>
          </w:tcPr>
          <w:p w14:paraId="1463821B" w14:textId="4038235C" w:rsidR="00BC7CFD" w:rsidRPr="00BC7CFD" w:rsidRDefault="00BC7CFD" w:rsidP="00BC7CFD">
            <w:pPr>
              <w:spacing w:before="120" w:after="120"/>
              <w:rPr>
                <w:rFonts w:cs="Arial"/>
                <w:sz w:val="20"/>
                <w:szCs w:val="20"/>
              </w:rPr>
            </w:pPr>
            <w:r>
              <w:rPr>
                <w:rFonts w:cs="Arial"/>
                <w:sz w:val="20"/>
                <w:szCs w:val="20"/>
              </w:rPr>
              <w:t>E 9 bis E 11</w:t>
            </w:r>
          </w:p>
        </w:tc>
        <w:tc>
          <w:tcPr>
            <w:tcW w:w="1419" w:type="dxa"/>
          </w:tcPr>
          <w:p w14:paraId="4882FE01" w14:textId="2FB5F485" w:rsidR="00BC7CFD" w:rsidRPr="00BC7CFD" w:rsidRDefault="00BC7CFD" w:rsidP="00BC7CFD">
            <w:pPr>
              <w:spacing w:before="120" w:after="120"/>
              <w:jc w:val="center"/>
              <w:rPr>
                <w:rFonts w:cs="Arial"/>
                <w:sz w:val="20"/>
                <w:szCs w:val="20"/>
              </w:rPr>
            </w:pPr>
            <w:r>
              <w:rPr>
                <w:rFonts w:cs="Arial"/>
                <w:sz w:val="20"/>
                <w:szCs w:val="20"/>
              </w:rPr>
              <w:t>64 v. H.</w:t>
            </w:r>
          </w:p>
        </w:tc>
        <w:tc>
          <w:tcPr>
            <w:tcW w:w="1419" w:type="dxa"/>
          </w:tcPr>
          <w:p w14:paraId="64574F0B" w14:textId="1E3DE49B" w:rsidR="00BC7CFD" w:rsidRPr="00BC7CFD" w:rsidRDefault="00BC7CFD" w:rsidP="00BC7CFD">
            <w:pPr>
              <w:spacing w:before="120" w:after="120"/>
              <w:jc w:val="center"/>
              <w:rPr>
                <w:rFonts w:cs="Arial"/>
                <w:sz w:val="20"/>
                <w:szCs w:val="20"/>
              </w:rPr>
            </w:pPr>
            <w:r>
              <w:rPr>
                <w:rFonts w:cs="Arial"/>
                <w:sz w:val="20"/>
                <w:szCs w:val="20"/>
              </w:rPr>
              <w:t>68 v. H.</w:t>
            </w:r>
          </w:p>
        </w:tc>
        <w:tc>
          <w:tcPr>
            <w:tcW w:w="1419" w:type="dxa"/>
          </w:tcPr>
          <w:p w14:paraId="04803B4E" w14:textId="491E803D" w:rsidR="00BC7CFD" w:rsidRPr="00BC7CFD" w:rsidRDefault="00BC7CFD" w:rsidP="00BC7CFD">
            <w:pPr>
              <w:spacing w:before="120" w:after="120"/>
              <w:jc w:val="center"/>
              <w:rPr>
                <w:rFonts w:cs="Arial"/>
                <w:sz w:val="20"/>
                <w:szCs w:val="20"/>
              </w:rPr>
            </w:pPr>
            <w:r>
              <w:rPr>
                <w:rFonts w:cs="Arial"/>
                <w:sz w:val="20"/>
                <w:szCs w:val="20"/>
              </w:rPr>
              <w:t>72 v. H.</w:t>
            </w:r>
          </w:p>
        </w:tc>
        <w:tc>
          <w:tcPr>
            <w:tcW w:w="1419" w:type="dxa"/>
          </w:tcPr>
          <w:p w14:paraId="466FDECD" w14:textId="68B96391" w:rsidR="00BC7CFD" w:rsidRPr="00BC7CFD" w:rsidRDefault="00BC7CFD" w:rsidP="00BC7CFD">
            <w:pPr>
              <w:spacing w:before="120" w:after="120"/>
              <w:jc w:val="center"/>
              <w:rPr>
                <w:rFonts w:cs="Arial"/>
                <w:sz w:val="20"/>
                <w:szCs w:val="20"/>
              </w:rPr>
            </w:pPr>
            <w:r>
              <w:rPr>
                <w:rFonts w:cs="Arial"/>
                <w:sz w:val="20"/>
                <w:szCs w:val="20"/>
              </w:rPr>
              <w:t>76 v. H.</w:t>
            </w:r>
          </w:p>
        </w:tc>
        <w:tc>
          <w:tcPr>
            <w:tcW w:w="1419" w:type="dxa"/>
          </w:tcPr>
          <w:p w14:paraId="4CC3328B" w14:textId="3F2731E8" w:rsidR="00BC7CFD" w:rsidRPr="00BC7CFD" w:rsidRDefault="00BC7CFD" w:rsidP="00BC7CFD">
            <w:pPr>
              <w:spacing w:before="120" w:after="120"/>
              <w:jc w:val="center"/>
              <w:rPr>
                <w:rFonts w:cs="Arial"/>
                <w:sz w:val="20"/>
                <w:szCs w:val="20"/>
              </w:rPr>
            </w:pPr>
            <w:r>
              <w:rPr>
                <w:rFonts w:cs="Arial"/>
                <w:sz w:val="20"/>
                <w:szCs w:val="20"/>
              </w:rPr>
              <w:t>80 v. H.</w:t>
            </w:r>
          </w:p>
        </w:tc>
      </w:tr>
      <w:tr w:rsidR="00BC7CFD" w:rsidRPr="00BC7CFD" w14:paraId="5C33904D" w14:textId="77777777" w:rsidTr="00BB629B">
        <w:tc>
          <w:tcPr>
            <w:tcW w:w="1696" w:type="dxa"/>
          </w:tcPr>
          <w:p w14:paraId="2430FA1B" w14:textId="44B16A25" w:rsidR="00BC7CFD" w:rsidRPr="00BC7CFD" w:rsidRDefault="00BC7CFD" w:rsidP="00BC7CFD">
            <w:pPr>
              <w:spacing w:before="120" w:after="120"/>
              <w:rPr>
                <w:rFonts w:cs="Arial"/>
                <w:sz w:val="20"/>
                <w:szCs w:val="20"/>
              </w:rPr>
            </w:pPr>
            <w:r>
              <w:rPr>
                <w:rFonts w:cs="Arial"/>
                <w:sz w:val="20"/>
                <w:szCs w:val="20"/>
              </w:rPr>
              <w:t>E 12 bis E 13</w:t>
            </w:r>
          </w:p>
        </w:tc>
        <w:tc>
          <w:tcPr>
            <w:tcW w:w="1419" w:type="dxa"/>
          </w:tcPr>
          <w:p w14:paraId="05F7B58E" w14:textId="16A48240" w:rsidR="00BC7CFD" w:rsidRPr="00BC7CFD" w:rsidRDefault="00BC7CFD" w:rsidP="00BC7CFD">
            <w:pPr>
              <w:spacing w:before="120" w:after="120"/>
              <w:jc w:val="center"/>
              <w:rPr>
                <w:rFonts w:cs="Arial"/>
                <w:sz w:val="20"/>
                <w:szCs w:val="20"/>
              </w:rPr>
            </w:pPr>
            <w:r>
              <w:rPr>
                <w:rFonts w:cs="Arial"/>
                <w:sz w:val="20"/>
                <w:szCs w:val="20"/>
              </w:rPr>
              <w:t>46 v. H.</w:t>
            </w:r>
          </w:p>
        </w:tc>
        <w:tc>
          <w:tcPr>
            <w:tcW w:w="1419" w:type="dxa"/>
          </w:tcPr>
          <w:p w14:paraId="0AFCB09A" w14:textId="49912C1D" w:rsidR="00BC7CFD" w:rsidRPr="00BC7CFD" w:rsidRDefault="00BC7CFD" w:rsidP="00BC7CFD">
            <w:pPr>
              <w:spacing w:before="120" w:after="120"/>
              <w:jc w:val="center"/>
              <w:rPr>
                <w:rFonts w:cs="Arial"/>
                <w:sz w:val="20"/>
                <w:szCs w:val="20"/>
              </w:rPr>
            </w:pPr>
            <w:r>
              <w:rPr>
                <w:rFonts w:cs="Arial"/>
                <w:sz w:val="20"/>
                <w:szCs w:val="20"/>
              </w:rPr>
              <w:t>47 v. H.</w:t>
            </w:r>
          </w:p>
        </w:tc>
        <w:tc>
          <w:tcPr>
            <w:tcW w:w="1419" w:type="dxa"/>
          </w:tcPr>
          <w:p w14:paraId="1B0FB746" w14:textId="04193F07" w:rsidR="00BC7CFD" w:rsidRPr="00BC7CFD" w:rsidRDefault="00BC7CFD" w:rsidP="00BC7CFD">
            <w:pPr>
              <w:spacing w:before="120" w:after="120"/>
              <w:jc w:val="center"/>
              <w:rPr>
                <w:rFonts w:cs="Arial"/>
                <w:sz w:val="20"/>
                <w:szCs w:val="20"/>
              </w:rPr>
            </w:pPr>
            <w:r>
              <w:rPr>
                <w:rFonts w:cs="Arial"/>
                <w:sz w:val="20"/>
                <w:szCs w:val="20"/>
              </w:rPr>
              <w:t>48 v. H.</w:t>
            </w:r>
          </w:p>
        </w:tc>
        <w:tc>
          <w:tcPr>
            <w:tcW w:w="1419" w:type="dxa"/>
          </w:tcPr>
          <w:p w14:paraId="44F6BC2A" w14:textId="6D8DBBA7" w:rsidR="00BC7CFD" w:rsidRPr="00BC7CFD" w:rsidRDefault="00BC7CFD" w:rsidP="00BC7CFD">
            <w:pPr>
              <w:spacing w:before="120" w:after="120"/>
              <w:jc w:val="center"/>
              <w:rPr>
                <w:rFonts w:cs="Arial"/>
                <w:sz w:val="20"/>
                <w:szCs w:val="20"/>
              </w:rPr>
            </w:pPr>
            <w:r>
              <w:rPr>
                <w:rFonts w:cs="Arial"/>
                <w:sz w:val="20"/>
                <w:szCs w:val="20"/>
              </w:rPr>
              <w:t>49 v. H.</w:t>
            </w:r>
          </w:p>
        </w:tc>
        <w:tc>
          <w:tcPr>
            <w:tcW w:w="1419" w:type="dxa"/>
          </w:tcPr>
          <w:p w14:paraId="489D78E4" w14:textId="06CF4129" w:rsidR="00BC7CFD" w:rsidRPr="00BC7CFD" w:rsidRDefault="00BC7CFD" w:rsidP="00BC7CFD">
            <w:pPr>
              <w:spacing w:before="120" w:after="120"/>
              <w:jc w:val="center"/>
              <w:rPr>
                <w:rFonts w:cs="Arial"/>
                <w:sz w:val="20"/>
                <w:szCs w:val="20"/>
              </w:rPr>
            </w:pPr>
            <w:r>
              <w:rPr>
                <w:rFonts w:cs="Arial"/>
                <w:sz w:val="20"/>
                <w:szCs w:val="20"/>
              </w:rPr>
              <w:t>50 v. H.</w:t>
            </w:r>
          </w:p>
        </w:tc>
      </w:tr>
      <w:tr w:rsidR="00BC7CFD" w:rsidRPr="00BC7CFD" w14:paraId="207D1238" w14:textId="77777777" w:rsidTr="00BB629B">
        <w:tc>
          <w:tcPr>
            <w:tcW w:w="1696" w:type="dxa"/>
          </w:tcPr>
          <w:p w14:paraId="4133D322" w14:textId="6541F298" w:rsidR="00BC7CFD" w:rsidRPr="00BC7CFD" w:rsidRDefault="00BC7CFD" w:rsidP="00BC7CFD">
            <w:pPr>
              <w:spacing w:before="120" w:after="120"/>
              <w:rPr>
                <w:rFonts w:cs="Arial"/>
                <w:sz w:val="20"/>
                <w:szCs w:val="20"/>
              </w:rPr>
            </w:pPr>
            <w:r>
              <w:rPr>
                <w:rFonts w:cs="Arial"/>
                <w:sz w:val="20"/>
                <w:szCs w:val="20"/>
              </w:rPr>
              <w:t>E 14 bis E 15</w:t>
            </w:r>
          </w:p>
        </w:tc>
        <w:tc>
          <w:tcPr>
            <w:tcW w:w="1419" w:type="dxa"/>
          </w:tcPr>
          <w:p w14:paraId="7C378E2C" w14:textId="195E5DBB" w:rsidR="00BC7CFD" w:rsidRPr="00BC7CFD" w:rsidRDefault="00BC7CFD" w:rsidP="00BC7CFD">
            <w:pPr>
              <w:spacing w:before="120" w:after="120"/>
              <w:jc w:val="center"/>
              <w:rPr>
                <w:rFonts w:cs="Arial"/>
                <w:sz w:val="20"/>
                <w:szCs w:val="20"/>
              </w:rPr>
            </w:pPr>
            <w:r>
              <w:rPr>
                <w:rFonts w:cs="Arial"/>
                <w:sz w:val="20"/>
                <w:szCs w:val="20"/>
              </w:rPr>
              <w:t xml:space="preserve">31 v. H. </w:t>
            </w:r>
          </w:p>
        </w:tc>
        <w:tc>
          <w:tcPr>
            <w:tcW w:w="1419" w:type="dxa"/>
          </w:tcPr>
          <w:p w14:paraId="7A56317B" w14:textId="52F4E188" w:rsidR="00BC7CFD" w:rsidRPr="00BC7CFD" w:rsidRDefault="00BC7CFD" w:rsidP="00BC7CFD">
            <w:pPr>
              <w:spacing w:before="120" w:after="120"/>
              <w:jc w:val="center"/>
              <w:rPr>
                <w:rFonts w:cs="Arial"/>
                <w:sz w:val="20"/>
                <w:szCs w:val="20"/>
              </w:rPr>
            </w:pPr>
            <w:r>
              <w:rPr>
                <w:rFonts w:cs="Arial"/>
                <w:sz w:val="20"/>
                <w:szCs w:val="20"/>
              </w:rPr>
              <w:t>32 v. H.</w:t>
            </w:r>
          </w:p>
        </w:tc>
        <w:tc>
          <w:tcPr>
            <w:tcW w:w="1419" w:type="dxa"/>
          </w:tcPr>
          <w:p w14:paraId="57B5337E" w14:textId="780FD9E3" w:rsidR="00BC7CFD" w:rsidRPr="00BC7CFD" w:rsidRDefault="00BC7CFD" w:rsidP="00BC7CFD">
            <w:pPr>
              <w:spacing w:before="120" w:after="120"/>
              <w:jc w:val="center"/>
              <w:rPr>
                <w:rFonts w:cs="Arial"/>
                <w:sz w:val="20"/>
                <w:szCs w:val="20"/>
              </w:rPr>
            </w:pPr>
            <w:r>
              <w:rPr>
                <w:rFonts w:cs="Arial"/>
                <w:sz w:val="20"/>
                <w:szCs w:val="20"/>
              </w:rPr>
              <w:t>33 v. H.</w:t>
            </w:r>
          </w:p>
        </w:tc>
        <w:tc>
          <w:tcPr>
            <w:tcW w:w="1419" w:type="dxa"/>
          </w:tcPr>
          <w:p w14:paraId="5D8553B2" w14:textId="655310B1" w:rsidR="00BC7CFD" w:rsidRPr="00BC7CFD" w:rsidRDefault="00BC7CFD" w:rsidP="00BC7CFD">
            <w:pPr>
              <w:spacing w:before="120" w:after="120"/>
              <w:jc w:val="center"/>
              <w:rPr>
                <w:rFonts w:cs="Arial"/>
                <w:sz w:val="20"/>
                <w:szCs w:val="20"/>
              </w:rPr>
            </w:pPr>
            <w:r>
              <w:rPr>
                <w:rFonts w:cs="Arial"/>
                <w:sz w:val="20"/>
                <w:szCs w:val="20"/>
              </w:rPr>
              <w:t>34 v. H.</w:t>
            </w:r>
          </w:p>
        </w:tc>
        <w:tc>
          <w:tcPr>
            <w:tcW w:w="1419" w:type="dxa"/>
          </w:tcPr>
          <w:p w14:paraId="5EE8B538" w14:textId="4F424C8C" w:rsidR="00BC7CFD" w:rsidRPr="00BC7CFD" w:rsidRDefault="00BC7CFD" w:rsidP="00BC7CFD">
            <w:pPr>
              <w:spacing w:before="120" w:after="120"/>
              <w:jc w:val="center"/>
              <w:rPr>
                <w:rFonts w:cs="Arial"/>
                <w:sz w:val="20"/>
                <w:szCs w:val="20"/>
              </w:rPr>
            </w:pPr>
            <w:r>
              <w:rPr>
                <w:rFonts w:cs="Arial"/>
                <w:sz w:val="20"/>
                <w:szCs w:val="20"/>
              </w:rPr>
              <w:t>35 v. H.</w:t>
            </w:r>
          </w:p>
        </w:tc>
      </w:tr>
    </w:tbl>
    <w:p w14:paraId="1B350716" w14:textId="77777777" w:rsidR="008328B6" w:rsidRDefault="008328B6" w:rsidP="00810575">
      <w:pPr>
        <w:spacing w:before="120" w:after="120"/>
        <w:ind w:left="567"/>
        <w:rPr>
          <w:rFonts w:cs="Arial"/>
        </w:rPr>
      </w:pPr>
    </w:p>
    <w:p w14:paraId="5C5D98ED" w14:textId="77777777" w:rsidR="008328B6" w:rsidRDefault="008328B6" w:rsidP="00810575">
      <w:pPr>
        <w:spacing w:before="120" w:after="120"/>
        <w:ind w:left="567"/>
        <w:rPr>
          <w:rFonts w:cs="Arial"/>
        </w:rPr>
      </w:pPr>
    </w:p>
    <w:p w14:paraId="0DC0B64F" w14:textId="77777777" w:rsidR="008328B6" w:rsidRDefault="008328B6" w:rsidP="00810575">
      <w:pPr>
        <w:spacing w:before="120" w:after="120"/>
        <w:ind w:left="567"/>
        <w:rPr>
          <w:rFonts w:cs="Arial"/>
        </w:rPr>
      </w:pPr>
    </w:p>
    <w:p w14:paraId="09882757" w14:textId="1124710C" w:rsidR="00BC7CFD" w:rsidRDefault="00042399" w:rsidP="00810575">
      <w:pPr>
        <w:spacing w:before="120" w:after="120"/>
        <w:ind w:left="567"/>
        <w:rPr>
          <w:rFonts w:cs="Arial"/>
        </w:rPr>
      </w:pPr>
      <w:r>
        <w:rPr>
          <w:rFonts w:cs="Arial"/>
        </w:rPr>
        <w:lastRenderedPageBreak/>
        <w:t>Für Auszubildende und Praktikantinnen/Praktikanten w</w:t>
      </w:r>
      <w:r w:rsidR="00810575">
        <w:rPr>
          <w:rFonts w:cs="Arial"/>
        </w:rPr>
        <w:t>e</w:t>
      </w:r>
      <w:r>
        <w:rPr>
          <w:rFonts w:cs="Arial"/>
        </w:rPr>
        <w:t>rd</w:t>
      </w:r>
      <w:r w:rsidR="00810575">
        <w:rPr>
          <w:rFonts w:cs="Arial"/>
        </w:rPr>
        <w:t>en</w:t>
      </w:r>
      <w:r>
        <w:rPr>
          <w:rFonts w:cs="Arial"/>
        </w:rPr>
        <w:t xml:space="preserve"> </w:t>
      </w:r>
      <w:r w:rsidR="00810575">
        <w:rPr>
          <w:rFonts w:cs="Arial"/>
        </w:rPr>
        <w:t>folgende Bemessungssätze</w:t>
      </w:r>
      <w:r>
        <w:rPr>
          <w:rFonts w:cs="Arial"/>
        </w:rPr>
        <w:t xml:space="preserve"> </w:t>
      </w:r>
      <w:r w:rsidR="00810575">
        <w:rPr>
          <w:rFonts w:cs="Arial"/>
        </w:rPr>
        <w:t xml:space="preserve">für die Jahressonderzahlung </w:t>
      </w:r>
      <w:r>
        <w:rPr>
          <w:rFonts w:cs="Arial"/>
        </w:rPr>
        <w:t>vereinbart:</w:t>
      </w:r>
    </w:p>
    <w:tbl>
      <w:tblPr>
        <w:tblStyle w:val="Tabellenraster"/>
        <w:tblW w:w="8791" w:type="dxa"/>
        <w:tblInd w:w="567" w:type="dxa"/>
        <w:tblLook w:val="04A0" w:firstRow="1" w:lastRow="0" w:firstColumn="1" w:lastColumn="0" w:noHBand="0" w:noVBand="1"/>
      </w:tblPr>
      <w:tblGrid>
        <w:gridCol w:w="1759"/>
        <w:gridCol w:w="1758"/>
        <w:gridCol w:w="1758"/>
        <w:gridCol w:w="1758"/>
        <w:gridCol w:w="1758"/>
      </w:tblGrid>
      <w:tr w:rsidR="00810575" w:rsidRPr="00BB629B" w14:paraId="4B539767" w14:textId="77777777" w:rsidTr="00F863FC">
        <w:tc>
          <w:tcPr>
            <w:tcW w:w="1419" w:type="dxa"/>
          </w:tcPr>
          <w:p w14:paraId="3D40FF92" w14:textId="77777777" w:rsidR="00810575" w:rsidRPr="00BB629B" w:rsidRDefault="00810575" w:rsidP="00F863FC">
            <w:pPr>
              <w:spacing w:before="120" w:after="120"/>
              <w:jc w:val="center"/>
              <w:rPr>
                <w:rFonts w:cs="Arial"/>
                <w:b/>
                <w:sz w:val="20"/>
                <w:szCs w:val="20"/>
              </w:rPr>
            </w:pPr>
            <w:r w:rsidRPr="00BB629B">
              <w:rPr>
                <w:rFonts w:cs="Arial"/>
                <w:b/>
                <w:sz w:val="20"/>
                <w:szCs w:val="20"/>
              </w:rPr>
              <w:t>2015</w:t>
            </w:r>
          </w:p>
        </w:tc>
        <w:tc>
          <w:tcPr>
            <w:tcW w:w="1419" w:type="dxa"/>
          </w:tcPr>
          <w:p w14:paraId="01994D9F" w14:textId="77777777" w:rsidR="00810575" w:rsidRPr="00BB629B" w:rsidRDefault="00810575" w:rsidP="00F863FC">
            <w:pPr>
              <w:spacing w:before="120" w:after="120"/>
              <w:jc w:val="center"/>
              <w:rPr>
                <w:rFonts w:cs="Arial"/>
                <w:b/>
                <w:sz w:val="20"/>
                <w:szCs w:val="20"/>
              </w:rPr>
            </w:pPr>
            <w:r w:rsidRPr="00BB629B">
              <w:rPr>
                <w:rFonts w:cs="Arial"/>
                <w:b/>
                <w:sz w:val="20"/>
                <w:szCs w:val="20"/>
              </w:rPr>
              <w:t>2016</w:t>
            </w:r>
          </w:p>
        </w:tc>
        <w:tc>
          <w:tcPr>
            <w:tcW w:w="1419" w:type="dxa"/>
          </w:tcPr>
          <w:p w14:paraId="71438E79" w14:textId="77777777" w:rsidR="00810575" w:rsidRPr="00BB629B" w:rsidRDefault="00810575" w:rsidP="00F863FC">
            <w:pPr>
              <w:spacing w:before="120" w:after="120"/>
              <w:jc w:val="center"/>
              <w:rPr>
                <w:rFonts w:cs="Arial"/>
                <w:b/>
                <w:sz w:val="20"/>
                <w:szCs w:val="20"/>
              </w:rPr>
            </w:pPr>
            <w:r w:rsidRPr="00BB629B">
              <w:rPr>
                <w:rFonts w:cs="Arial"/>
                <w:b/>
                <w:sz w:val="20"/>
                <w:szCs w:val="20"/>
              </w:rPr>
              <w:t>2017</w:t>
            </w:r>
          </w:p>
        </w:tc>
        <w:tc>
          <w:tcPr>
            <w:tcW w:w="1419" w:type="dxa"/>
          </w:tcPr>
          <w:p w14:paraId="47BD9D43" w14:textId="77777777" w:rsidR="00810575" w:rsidRPr="00BB629B" w:rsidRDefault="00810575" w:rsidP="00F863FC">
            <w:pPr>
              <w:spacing w:before="120" w:after="120"/>
              <w:jc w:val="center"/>
              <w:rPr>
                <w:rFonts w:cs="Arial"/>
                <w:b/>
                <w:sz w:val="20"/>
                <w:szCs w:val="20"/>
              </w:rPr>
            </w:pPr>
            <w:r w:rsidRPr="00BB629B">
              <w:rPr>
                <w:rFonts w:cs="Arial"/>
                <w:b/>
                <w:sz w:val="20"/>
                <w:szCs w:val="20"/>
              </w:rPr>
              <w:t>2018</w:t>
            </w:r>
          </w:p>
        </w:tc>
        <w:tc>
          <w:tcPr>
            <w:tcW w:w="1419" w:type="dxa"/>
          </w:tcPr>
          <w:p w14:paraId="5046E888" w14:textId="77777777" w:rsidR="00810575" w:rsidRPr="00BB629B" w:rsidRDefault="00810575" w:rsidP="00F863FC">
            <w:pPr>
              <w:spacing w:before="120" w:after="120"/>
              <w:jc w:val="center"/>
              <w:rPr>
                <w:rFonts w:cs="Arial"/>
                <w:b/>
                <w:sz w:val="20"/>
                <w:szCs w:val="20"/>
              </w:rPr>
            </w:pPr>
            <w:r w:rsidRPr="00BB629B">
              <w:rPr>
                <w:rFonts w:cs="Arial"/>
                <w:b/>
                <w:sz w:val="20"/>
                <w:szCs w:val="20"/>
              </w:rPr>
              <w:t>ab 2019</w:t>
            </w:r>
          </w:p>
        </w:tc>
      </w:tr>
      <w:tr w:rsidR="00810575" w:rsidRPr="00BC7CFD" w14:paraId="1A26F2F3" w14:textId="77777777" w:rsidTr="00F863FC">
        <w:tc>
          <w:tcPr>
            <w:tcW w:w="1419" w:type="dxa"/>
          </w:tcPr>
          <w:p w14:paraId="60E416C5" w14:textId="77777777" w:rsidR="00810575" w:rsidRPr="00BC7CFD" w:rsidRDefault="00810575" w:rsidP="00F863FC">
            <w:pPr>
              <w:spacing w:before="120" w:after="120"/>
              <w:jc w:val="center"/>
              <w:rPr>
                <w:rFonts w:cs="Arial"/>
                <w:sz w:val="20"/>
                <w:szCs w:val="20"/>
              </w:rPr>
            </w:pPr>
            <w:r>
              <w:rPr>
                <w:rFonts w:cs="Arial"/>
                <w:sz w:val="20"/>
                <w:szCs w:val="20"/>
              </w:rPr>
              <w:t>76,2 v. H.</w:t>
            </w:r>
          </w:p>
        </w:tc>
        <w:tc>
          <w:tcPr>
            <w:tcW w:w="1419" w:type="dxa"/>
          </w:tcPr>
          <w:p w14:paraId="294A60EE" w14:textId="77777777" w:rsidR="00810575" w:rsidRPr="00BC7CFD" w:rsidRDefault="00810575" w:rsidP="00F863FC">
            <w:pPr>
              <w:spacing w:before="120" w:after="120"/>
              <w:jc w:val="center"/>
              <w:rPr>
                <w:rFonts w:cs="Arial"/>
                <w:sz w:val="20"/>
                <w:szCs w:val="20"/>
              </w:rPr>
            </w:pPr>
            <w:r>
              <w:rPr>
                <w:rFonts w:cs="Arial"/>
                <w:sz w:val="20"/>
                <w:szCs w:val="20"/>
              </w:rPr>
              <w:t>80,9 v. H.</w:t>
            </w:r>
          </w:p>
        </w:tc>
        <w:tc>
          <w:tcPr>
            <w:tcW w:w="1419" w:type="dxa"/>
          </w:tcPr>
          <w:p w14:paraId="25754A60" w14:textId="77777777" w:rsidR="00810575" w:rsidRPr="00BC7CFD" w:rsidRDefault="00810575" w:rsidP="00F863FC">
            <w:pPr>
              <w:spacing w:before="120" w:after="120"/>
              <w:jc w:val="center"/>
              <w:rPr>
                <w:rFonts w:cs="Arial"/>
                <w:sz w:val="20"/>
                <w:szCs w:val="20"/>
              </w:rPr>
            </w:pPr>
            <w:r>
              <w:rPr>
                <w:rFonts w:cs="Arial"/>
                <w:sz w:val="20"/>
                <w:szCs w:val="20"/>
              </w:rPr>
              <w:t>85,6 v. H.</w:t>
            </w:r>
          </w:p>
        </w:tc>
        <w:tc>
          <w:tcPr>
            <w:tcW w:w="1419" w:type="dxa"/>
          </w:tcPr>
          <w:p w14:paraId="1FB31C65" w14:textId="77777777" w:rsidR="00810575" w:rsidRPr="00BC7CFD" w:rsidRDefault="00810575" w:rsidP="00F863FC">
            <w:pPr>
              <w:spacing w:before="120" w:after="120"/>
              <w:jc w:val="center"/>
              <w:rPr>
                <w:rFonts w:cs="Arial"/>
                <w:sz w:val="20"/>
                <w:szCs w:val="20"/>
              </w:rPr>
            </w:pPr>
            <w:r>
              <w:rPr>
                <w:rFonts w:cs="Arial"/>
                <w:sz w:val="20"/>
                <w:szCs w:val="20"/>
              </w:rPr>
              <w:t>90,3 v. H.</w:t>
            </w:r>
          </w:p>
        </w:tc>
        <w:tc>
          <w:tcPr>
            <w:tcW w:w="1419" w:type="dxa"/>
          </w:tcPr>
          <w:p w14:paraId="3555082A" w14:textId="77777777" w:rsidR="00810575" w:rsidRPr="00BC7CFD" w:rsidRDefault="00810575" w:rsidP="00F863FC">
            <w:pPr>
              <w:spacing w:before="120" w:after="120"/>
              <w:jc w:val="center"/>
              <w:rPr>
                <w:rFonts w:cs="Arial"/>
                <w:sz w:val="20"/>
                <w:szCs w:val="20"/>
              </w:rPr>
            </w:pPr>
            <w:r>
              <w:rPr>
                <w:rFonts w:cs="Arial"/>
                <w:sz w:val="20"/>
                <w:szCs w:val="20"/>
              </w:rPr>
              <w:t>95,0 v. H.</w:t>
            </w:r>
          </w:p>
        </w:tc>
      </w:tr>
    </w:tbl>
    <w:p w14:paraId="72E53F24" w14:textId="77777777" w:rsidR="00810575" w:rsidRDefault="00810575" w:rsidP="000C0DBD">
      <w:pPr>
        <w:spacing w:before="120" w:after="120"/>
        <w:ind w:left="1134" w:hanging="567"/>
        <w:rPr>
          <w:rFonts w:cs="Arial"/>
        </w:rPr>
      </w:pPr>
    </w:p>
    <w:p w14:paraId="6566FD15" w14:textId="13DBB01F" w:rsidR="004765E2" w:rsidRDefault="004765E2" w:rsidP="004765E2">
      <w:pPr>
        <w:spacing w:before="120" w:after="120"/>
        <w:ind w:left="567" w:hanging="567"/>
        <w:rPr>
          <w:rFonts w:cs="Arial"/>
          <w:b/>
        </w:rPr>
      </w:pPr>
      <w:r>
        <w:rPr>
          <w:rFonts w:cs="Arial"/>
          <w:b/>
        </w:rPr>
        <w:t>5.</w:t>
      </w:r>
      <w:r>
        <w:rPr>
          <w:rFonts w:cs="Arial"/>
          <w:b/>
        </w:rPr>
        <w:tab/>
        <w:t>Zusatzurlaub für Beschäftigte in der Psychiatrie in Baden-Württemberg</w:t>
      </w:r>
    </w:p>
    <w:p w14:paraId="40A11BAB" w14:textId="7DCB3357" w:rsidR="004765E2" w:rsidRDefault="004765E2" w:rsidP="004765E2">
      <w:pPr>
        <w:spacing w:before="120" w:after="120"/>
        <w:ind w:left="567"/>
        <w:rPr>
          <w:rFonts w:cs="Arial"/>
        </w:rPr>
      </w:pPr>
      <w:r>
        <w:rPr>
          <w:rFonts w:cs="Arial"/>
        </w:rPr>
        <w:t>Der in der Tarifeinigung vom 9. März 2013 vereinbarte Zusatzurlaub unterliegt ab dem Kalenderjahr 2015 nicht der Höchstgrenze des § 27 Absatz 4 TV-L.</w:t>
      </w:r>
    </w:p>
    <w:p w14:paraId="7FAF47E8" w14:textId="77777777" w:rsidR="004765E2" w:rsidRDefault="004765E2" w:rsidP="004765E2">
      <w:pPr>
        <w:spacing w:before="120" w:after="120"/>
        <w:ind w:left="567"/>
        <w:rPr>
          <w:rFonts w:cs="Arial"/>
        </w:rPr>
      </w:pPr>
    </w:p>
    <w:p w14:paraId="438F9420" w14:textId="1F0CA8A4" w:rsidR="00006B79" w:rsidRPr="00960183" w:rsidRDefault="004765E2" w:rsidP="00806F59">
      <w:pPr>
        <w:spacing w:before="120" w:after="120"/>
        <w:ind w:left="567" w:hanging="567"/>
        <w:rPr>
          <w:rFonts w:cs="Arial"/>
          <w:b/>
        </w:rPr>
      </w:pPr>
      <w:r>
        <w:rPr>
          <w:rFonts w:cs="Arial"/>
          <w:b/>
        </w:rPr>
        <w:t>6</w:t>
      </w:r>
      <w:r w:rsidR="00177A97">
        <w:rPr>
          <w:rFonts w:cs="Arial"/>
          <w:b/>
        </w:rPr>
        <w:t>.</w:t>
      </w:r>
      <w:r w:rsidR="00177A97">
        <w:rPr>
          <w:rFonts w:cs="Arial"/>
          <w:b/>
        </w:rPr>
        <w:tab/>
      </w:r>
      <w:r w:rsidR="00006B79" w:rsidRPr="00960183">
        <w:rPr>
          <w:rFonts w:cs="Arial"/>
          <w:b/>
        </w:rPr>
        <w:t>Beschäftigungssicherung für Auszubildende</w:t>
      </w:r>
    </w:p>
    <w:p w14:paraId="76325874" w14:textId="77777777" w:rsidR="00006B79" w:rsidRPr="00960183" w:rsidRDefault="00006B79" w:rsidP="00806F59">
      <w:pPr>
        <w:spacing w:before="120" w:after="120"/>
        <w:ind w:left="567"/>
        <w:rPr>
          <w:rFonts w:cs="Arial"/>
        </w:rPr>
      </w:pPr>
      <w:r w:rsidRPr="00960183">
        <w:rPr>
          <w:rFonts w:cs="Arial"/>
        </w:rPr>
        <w:t xml:space="preserve">§ 19 TVA-L BBiG </w:t>
      </w:r>
      <w:r w:rsidR="008B4D23">
        <w:rPr>
          <w:rFonts w:cs="Arial"/>
        </w:rPr>
        <w:t>und § 18a TVA-L Pflege</w:t>
      </w:r>
      <w:r w:rsidR="00226EF5">
        <w:rPr>
          <w:rFonts w:cs="Arial"/>
        </w:rPr>
        <w:t xml:space="preserve"> werden</w:t>
      </w:r>
      <w:r>
        <w:rPr>
          <w:rFonts w:cs="Arial"/>
        </w:rPr>
        <w:t xml:space="preserve"> ab dem 1. Januar 2015 wieder in Kraft gesetzt</w:t>
      </w:r>
      <w:r w:rsidR="001B7B74">
        <w:rPr>
          <w:rFonts w:cs="Arial"/>
        </w:rPr>
        <w:t xml:space="preserve">, </w:t>
      </w:r>
      <w:r w:rsidR="008B4D23">
        <w:rPr>
          <w:rFonts w:cs="Arial"/>
        </w:rPr>
        <w:t>sie treten</w:t>
      </w:r>
      <w:r>
        <w:rPr>
          <w:rFonts w:cs="Arial"/>
        </w:rPr>
        <w:t xml:space="preserve"> mit Ablauf des </w:t>
      </w:r>
      <w:r w:rsidR="005362CF">
        <w:rPr>
          <w:rFonts w:cs="Arial"/>
        </w:rPr>
        <w:t>31. Dezember 2016</w:t>
      </w:r>
      <w:r>
        <w:rPr>
          <w:rFonts w:cs="Arial"/>
        </w:rPr>
        <w:t xml:space="preserve"> außer Kraft.</w:t>
      </w:r>
      <w:r w:rsidR="008C2218">
        <w:rPr>
          <w:rFonts w:cs="Arial"/>
        </w:rPr>
        <w:t xml:space="preserve"> </w:t>
      </w:r>
    </w:p>
    <w:p w14:paraId="2A8EAEEE" w14:textId="77777777" w:rsidR="001B226F" w:rsidRDefault="001B226F" w:rsidP="00806F59">
      <w:pPr>
        <w:spacing w:before="120" w:after="120"/>
        <w:ind w:left="567"/>
        <w:rPr>
          <w:rFonts w:cs="Arial"/>
        </w:rPr>
      </w:pPr>
    </w:p>
    <w:p w14:paraId="159F5134" w14:textId="13158700" w:rsidR="008C16E1" w:rsidRPr="00F2421A" w:rsidRDefault="004765E2" w:rsidP="00EE2482">
      <w:pPr>
        <w:spacing w:before="120" w:after="120"/>
        <w:ind w:left="567" w:hanging="567"/>
        <w:rPr>
          <w:rFonts w:cs="Arial"/>
          <w:b/>
        </w:rPr>
      </w:pPr>
      <w:r>
        <w:rPr>
          <w:rFonts w:cs="Arial"/>
          <w:b/>
        </w:rPr>
        <w:t>7</w:t>
      </w:r>
      <w:r w:rsidR="00F2421A" w:rsidRPr="00F2421A">
        <w:rPr>
          <w:rFonts w:cs="Arial"/>
          <w:b/>
        </w:rPr>
        <w:t>.</w:t>
      </w:r>
      <w:r w:rsidR="00F2421A" w:rsidRPr="00F2421A">
        <w:rPr>
          <w:rFonts w:cs="Arial"/>
          <w:b/>
        </w:rPr>
        <w:tab/>
      </w:r>
      <w:r w:rsidR="008C16E1" w:rsidRPr="00F2421A">
        <w:rPr>
          <w:rFonts w:cs="Arial"/>
          <w:b/>
        </w:rPr>
        <w:t>Urlaubsanspruch für Auszubildende und Praktikanten</w:t>
      </w:r>
    </w:p>
    <w:p w14:paraId="1BFB04C5" w14:textId="1D16152C" w:rsidR="000A2133" w:rsidRDefault="00E9122B" w:rsidP="00EE2482">
      <w:pPr>
        <w:spacing w:before="120" w:after="120"/>
        <w:ind w:left="567"/>
        <w:rPr>
          <w:rFonts w:cs="Arial"/>
        </w:rPr>
      </w:pPr>
      <w:r>
        <w:rPr>
          <w:rFonts w:cs="Arial"/>
        </w:rPr>
        <w:t xml:space="preserve">Der Urlaubsanspruch für Auszubildende nach TVA-L BBiG und TVA-L Pflege sowie für </w:t>
      </w:r>
      <w:r w:rsidR="00980CF6">
        <w:rPr>
          <w:rFonts w:cs="Arial"/>
        </w:rPr>
        <w:t xml:space="preserve">ab dem 1. April 2015 neu eingestellte </w:t>
      </w:r>
      <w:r>
        <w:rPr>
          <w:rFonts w:cs="Arial"/>
        </w:rPr>
        <w:t xml:space="preserve">Praktikanten nach TV Prakt-L </w:t>
      </w:r>
      <w:r w:rsidR="008B4D23">
        <w:rPr>
          <w:rFonts w:cs="Arial"/>
        </w:rPr>
        <w:t>wird</w:t>
      </w:r>
      <w:r>
        <w:rPr>
          <w:rFonts w:cs="Arial"/>
        </w:rPr>
        <w:t xml:space="preserve"> </w:t>
      </w:r>
      <w:r w:rsidR="008B4D23" w:rsidRPr="008B4D23">
        <w:rPr>
          <w:rFonts w:cs="Arial"/>
        </w:rPr>
        <w:t xml:space="preserve">bei Verteilung der wöchentlichen Arbeitszeit auf fünf Tage in der Kalenderwoche </w:t>
      </w:r>
      <w:r w:rsidRPr="008B4D23">
        <w:rPr>
          <w:rFonts w:cs="Arial"/>
        </w:rPr>
        <w:t>einheitlich</w:t>
      </w:r>
      <w:r>
        <w:rPr>
          <w:rFonts w:cs="Arial"/>
        </w:rPr>
        <w:t xml:space="preserve"> </w:t>
      </w:r>
      <w:r w:rsidR="000A2133">
        <w:rPr>
          <w:rFonts w:cs="Arial"/>
        </w:rPr>
        <w:t xml:space="preserve">auf </w:t>
      </w:r>
      <w:r>
        <w:rPr>
          <w:rFonts w:cs="Arial"/>
        </w:rPr>
        <w:t>28 Tage</w:t>
      </w:r>
      <w:r w:rsidR="008B4D23">
        <w:rPr>
          <w:rFonts w:cs="Arial"/>
        </w:rPr>
        <w:t xml:space="preserve"> im Kalenderjahr festgelegt</w:t>
      </w:r>
      <w:r w:rsidR="004B1B0A">
        <w:rPr>
          <w:rFonts w:cs="Arial"/>
        </w:rPr>
        <w:t xml:space="preserve">. </w:t>
      </w:r>
    </w:p>
    <w:p w14:paraId="1E9E7A88" w14:textId="77777777" w:rsidR="00F66007" w:rsidRDefault="00F66007" w:rsidP="00806F59">
      <w:pPr>
        <w:spacing w:before="120" w:after="120"/>
        <w:rPr>
          <w:rFonts w:cs="Arial"/>
        </w:rPr>
      </w:pPr>
    </w:p>
    <w:p w14:paraId="40CF7C50" w14:textId="6B58DA8F" w:rsidR="00F77C42" w:rsidRPr="007F456B" w:rsidRDefault="004765E2" w:rsidP="00806F59">
      <w:pPr>
        <w:spacing w:before="120" w:after="120"/>
        <w:ind w:left="567" w:hanging="567"/>
        <w:rPr>
          <w:rFonts w:cs="Arial"/>
          <w:b/>
        </w:rPr>
      </w:pPr>
      <w:r>
        <w:rPr>
          <w:rFonts w:cs="Arial"/>
          <w:b/>
        </w:rPr>
        <w:t>8</w:t>
      </w:r>
      <w:r w:rsidR="007F456B" w:rsidRPr="007F456B">
        <w:rPr>
          <w:rFonts w:cs="Arial"/>
          <w:b/>
        </w:rPr>
        <w:t xml:space="preserve">. </w:t>
      </w:r>
      <w:r w:rsidR="007F456B">
        <w:rPr>
          <w:rFonts w:cs="Arial"/>
          <w:b/>
        </w:rPr>
        <w:tab/>
      </w:r>
      <w:r w:rsidR="00587D94">
        <w:rPr>
          <w:rFonts w:cs="Arial"/>
          <w:b/>
        </w:rPr>
        <w:t>Forte</w:t>
      </w:r>
      <w:r w:rsidR="007F456B" w:rsidRPr="007F456B">
        <w:rPr>
          <w:rFonts w:cs="Arial"/>
          <w:b/>
        </w:rPr>
        <w:t>ntwicklung des Tarifrechts</w:t>
      </w:r>
    </w:p>
    <w:p w14:paraId="72E0D8C9" w14:textId="77777777" w:rsidR="007F456B" w:rsidRDefault="00587D94" w:rsidP="00806F59">
      <w:pPr>
        <w:spacing w:before="120" w:after="120"/>
        <w:ind w:left="567"/>
        <w:rPr>
          <w:rFonts w:cs="Arial"/>
        </w:rPr>
      </w:pPr>
      <w:r>
        <w:rPr>
          <w:rFonts w:cs="Arial"/>
        </w:rPr>
        <w:t xml:space="preserve">Die Fortentwicklung des Tarifrechts ist im Interesse von Arbeitgebern und Beschäftigten. Die Tarifvertragsparteien beabsichtigen, hierzu jährlich Gespräche zu führen.  </w:t>
      </w:r>
    </w:p>
    <w:p w14:paraId="36E97B0D" w14:textId="77777777" w:rsidR="00B52CCF" w:rsidRDefault="00B52CCF" w:rsidP="00806F59">
      <w:pPr>
        <w:spacing w:before="120" w:after="120"/>
        <w:rPr>
          <w:rFonts w:cs="Arial"/>
        </w:rPr>
      </w:pPr>
    </w:p>
    <w:p w14:paraId="2C1E56B0" w14:textId="179B6C94" w:rsidR="008C486B" w:rsidRPr="008C486B" w:rsidRDefault="004765E2" w:rsidP="008C486B">
      <w:pPr>
        <w:spacing w:before="120" w:after="120"/>
        <w:ind w:left="567" w:hanging="567"/>
        <w:rPr>
          <w:rFonts w:cs="Arial"/>
          <w:b/>
        </w:rPr>
      </w:pPr>
      <w:r>
        <w:rPr>
          <w:rFonts w:cs="Arial"/>
          <w:b/>
        </w:rPr>
        <w:t>9</w:t>
      </w:r>
      <w:r w:rsidR="008C486B" w:rsidRPr="008C486B">
        <w:rPr>
          <w:rFonts w:cs="Arial"/>
          <w:b/>
        </w:rPr>
        <w:t>.</w:t>
      </w:r>
      <w:r w:rsidR="008C486B" w:rsidRPr="008C486B">
        <w:rPr>
          <w:rFonts w:cs="Arial"/>
          <w:b/>
        </w:rPr>
        <w:tab/>
      </w:r>
      <w:r w:rsidR="008C486B">
        <w:rPr>
          <w:rFonts w:cs="Arial"/>
          <w:b/>
        </w:rPr>
        <w:t>Übergangsversorgung Feuerwehr und Justizvollzug</w:t>
      </w:r>
    </w:p>
    <w:p w14:paraId="22F05CE1" w14:textId="2A27BD27" w:rsidR="008C486B" w:rsidRDefault="00453E5C" w:rsidP="008C486B">
      <w:pPr>
        <w:spacing w:before="120" w:after="120"/>
        <w:ind w:left="567"/>
        <w:rPr>
          <w:rFonts w:cs="Arial"/>
        </w:rPr>
      </w:pPr>
      <w:r>
        <w:rPr>
          <w:rFonts w:cs="Arial"/>
        </w:rPr>
        <w:t>Die Tarifvertragsparteien werden ihre Gespräche zur Übergangsversorgung für Beschäftigte im Justizvollzugsdienst der Länder sowie im feuerwehrtechnischen Dienst in Hamburg und Berlin zeitnah fortsetzen.</w:t>
      </w:r>
      <w:r w:rsidR="00001189">
        <w:rPr>
          <w:rFonts w:cs="Arial"/>
        </w:rPr>
        <w:t xml:space="preserve"> Hierbei werden die Gewerkschaften eine Änderung der bestehenden Regelung anstreben, wonach die bisherige einmalige Abfindung in eine monatliche Zahlung bei Fortbestand des Arbeitsverhältnisses unter Freistellung von der Arbeit umgestaltet wird.</w:t>
      </w:r>
    </w:p>
    <w:p w14:paraId="700B44F7" w14:textId="77777777" w:rsidR="008C486B" w:rsidRDefault="008C486B" w:rsidP="00806F59">
      <w:pPr>
        <w:spacing w:before="120" w:after="120"/>
        <w:rPr>
          <w:rFonts w:cs="Arial"/>
        </w:rPr>
      </w:pPr>
    </w:p>
    <w:p w14:paraId="36467E62" w14:textId="1BACE836" w:rsidR="00356768" w:rsidRPr="00960183" w:rsidRDefault="00EE78CB" w:rsidP="00E43D96">
      <w:pPr>
        <w:spacing w:before="120" w:after="120"/>
        <w:ind w:left="567" w:hanging="567"/>
        <w:rPr>
          <w:rFonts w:cs="Arial"/>
          <w:b/>
        </w:rPr>
      </w:pPr>
      <w:r>
        <w:rPr>
          <w:rFonts w:cs="Arial"/>
          <w:b/>
        </w:rPr>
        <w:t>I</w:t>
      </w:r>
      <w:r w:rsidR="005870D0" w:rsidRPr="00960183">
        <w:rPr>
          <w:rFonts w:cs="Arial"/>
          <w:b/>
        </w:rPr>
        <w:t>V.</w:t>
      </w:r>
      <w:r w:rsidR="005870D0" w:rsidRPr="00960183">
        <w:rPr>
          <w:rFonts w:cs="Arial"/>
          <w:b/>
        </w:rPr>
        <w:tab/>
      </w:r>
      <w:r w:rsidR="00356768" w:rsidRPr="00960183">
        <w:rPr>
          <w:rFonts w:cs="Arial"/>
          <w:b/>
        </w:rPr>
        <w:t>Maßregelungsklausel</w:t>
      </w:r>
    </w:p>
    <w:p w14:paraId="496B434D" w14:textId="719C7002" w:rsidR="00C507B4" w:rsidRDefault="00C507B4" w:rsidP="00E43D96">
      <w:pPr>
        <w:spacing w:before="120" w:after="120"/>
        <w:ind w:left="567"/>
        <w:rPr>
          <w:rFonts w:cs="Arial"/>
        </w:rPr>
      </w:pPr>
      <w:r w:rsidRPr="00960183">
        <w:rPr>
          <w:rFonts w:cs="Arial"/>
        </w:rPr>
        <w:t xml:space="preserve">Die Arbeitgebervertreter erklären, dass von Maßregelungen (Abmahnung, Entlassungen o. ä.) aus Anlass gewerkschaftlicher Warnstreiks, die bis einschließlich </w:t>
      </w:r>
      <w:r w:rsidR="008C486B">
        <w:rPr>
          <w:rFonts w:cs="Arial"/>
        </w:rPr>
        <w:t>28.</w:t>
      </w:r>
      <w:r w:rsidR="00D95FCE">
        <w:rPr>
          <w:rFonts w:cs="Arial"/>
        </w:rPr>
        <w:t xml:space="preserve"> März 201</w:t>
      </w:r>
      <w:r w:rsidR="0067787D">
        <w:rPr>
          <w:rFonts w:cs="Arial"/>
        </w:rPr>
        <w:t>5</w:t>
      </w:r>
      <w:r w:rsidR="00D95FCE">
        <w:rPr>
          <w:rFonts w:cs="Arial"/>
        </w:rPr>
        <w:t>,</w:t>
      </w:r>
      <w:r w:rsidRPr="00960183">
        <w:rPr>
          <w:rFonts w:cs="Arial"/>
        </w:rPr>
        <w:t xml:space="preserve"> 24:00 Uhr, durchgeführt wurden, abgesehen wird, wenn sich die Teilnahme an diesen Warnstreiks im Rahmen der Regelungen für rechtmäßige Arbeitskämpfe gehalten hat.</w:t>
      </w:r>
    </w:p>
    <w:p w14:paraId="3301C8AD" w14:textId="77777777" w:rsidR="00A77F86" w:rsidRDefault="00A77F86" w:rsidP="00E43D96">
      <w:pPr>
        <w:spacing w:before="120" w:after="120"/>
        <w:ind w:left="567"/>
        <w:rPr>
          <w:rFonts w:cs="Arial"/>
        </w:rPr>
      </w:pPr>
    </w:p>
    <w:p w14:paraId="51904D5F" w14:textId="77777777" w:rsidR="00001189" w:rsidRDefault="00001189" w:rsidP="00E43D96">
      <w:pPr>
        <w:spacing w:before="120" w:after="120"/>
        <w:ind w:left="567"/>
        <w:rPr>
          <w:rFonts w:cs="Arial"/>
        </w:rPr>
      </w:pPr>
    </w:p>
    <w:p w14:paraId="667C574F" w14:textId="5355138B" w:rsidR="00A77F86" w:rsidRDefault="00A77F86" w:rsidP="00E43D96">
      <w:pPr>
        <w:spacing w:before="120" w:after="120"/>
        <w:ind w:left="567" w:hanging="567"/>
        <w:rPr>
          <w:rFonts w:cs="Arial"/>
          <w:b/>
        </w:rPr>
      </w:pPr>
      <w:r w:rsidRPr="00872E0A">
        <w:rPr>
          <w:rFonts w:cs="Arial"/>
          <w:b/>
        </w:rPr>
        <w:lastRenderedPageBreak/>
        <w:t>V.</w:t>
      </w:r>
      <w:r w:rsidRPr="00872E0A">
        <w:rPr>
          <w:rFonts w:cs="Arial"/>
          <w:b/>
        </w:rPr>
        <w:tab/>
        <w:t>Ausnahmen vom Geltungsbereich</w:t>
      </w:r>
    </w:p>
    <w:p w14:paraId="4B2E4FF5" w14:textId="27F504F0" w:rsidR="00B01F74" w:rsidRDefault="005A6D48" w:rsidP="00E43D96">
      <w:pPr>
        <w:spacing w:before="120" w:after="120"/>
        <w:ind w:left="567"/>
        <w:rPr>
          <w:rFonts w:cs="Arial"/>
        </w:rPr>
      </w:pPr>
      <w:r w:rsidRPr="00325EC8">
        <w:rPr>
          <w:rFonts w:cs="Arial"/>
        </w:rPr>
        <w:t>F</w:t>
      </w:r>
      <w:r>
        <w:rPr>
          <w:rFonts w:cs="Arial"/>
        </w:rPr>
        <w:t xml:space="preserve">ür Beschäftigte, die spätestens mit Ablauf des </w:t>
      </w:r>
      <w:r w:rsidR="008C486B">
        <w:rPr>
          <w:rFonts w:cs="Arial"/>
        </w:rPr>
        <w:t>28.</w:t>
      </w:r>
      <w:r w:rsidR="00325EC8">
        <w:rPr>
          <w:rFonts w:cs="Arial"/>
        </w:rPr>
        <w:t xml:space="preserve"> März 2015 </w:t>
      </w:r>
      <w:r>
        <w:rPr>
          <w:rFonts w:cs="Arial"/>
        </w:rPr>
        <w:t xml:space="preserve">aus dem Arbeitsverhältnis ausgeschieden sind, gelten die vorstehenden Vereinbarungen nur, wenn sie dies bis zum 30. September </w:t>
      </w:r>
      <w:r w:rsidR="000E70FF">
        <w:rPr>
          <w:rFonts w:cs="Arial"/>
        </w:rPr>
        <w:t xml:space="preserve">2015 </w:t>
      </w:r>
      <w:r>
        <w:rPr>
          <w:rFonts w:cs="Arial"/>
        </w:rPr>
        <w:t xml:space="preserve">schriftlich beantragen. </w:t>
      </w:r>
    </w:p>
    <w:p w14:paraId="4ABE572D" w14:textId="77777777" w:rsidR="00B01F74" w:rsidRPr="00960183" w:rsidRDefault="00B01F74" w:rsidP="00E43D96">
      <w:pPr>
        <w:spacing w:before="120" w:after="120"/>
        <w:ind w:left="567"/>
        <w:rPr>
          <w:rFonts w:cs="Arial"/>
        </w:rPr>
      </w:pPr>
    </w:p>
    <w:p w14:paraId="032325C7" w14:textId="01DB909E" w:rsidR="003B769B" w:rsidRPr="00960183" w:rsidRDefault="005870D0" w:rsidP="00E43D96">
      <w:pPr>
        <w:spacing w:before="120" w:after="120"/>
        <w:ind w:left="567" w:hanging="567"/>
        <w:rPr>
          <w:rFonts w:cs="Arial"/>
          <w:b/>
        </w:rPr>
      </w:pPr>
      <w:r w:rsidRPr="00960183">
        <w:rPr>
          <w:rFonts w:cs="Arial"/>
          <w:b/>
        </w:rPr>
        <w:t>V</w:t>
      </w:r>
      <w:r w:rsidR="00AB609F">
        <w:rPr>
          <w:rFonts w:cs="Arial"/>
          <w:b/>
        </w:rPr>
        <w:t>I</w:t>
      </w:r>
      <w:r w:rsidRPr="00960183">
        <w:rPr>
          <w:rFonts w:cs="Arial"/>
          <w:b/>
        </w:rPr>
        <w:t>.</w:t>
      </w:r>
      <w:r w:rsidRPr="00960183">
        <w:rPr>
          <w:rFonts w:cs="Arial"/>
          <w:b/>
        </w:rPr>
        <w:tab/>
      </w:r>
      <w:r w:rsidR="00130413">
        <w:rPr>
          <w:rFonts w:cs="Arial"/>
          <w:b/>
        </w:rPr>
        <w:t xml:space="preserve">Inkrafttreten, </w:t>
      </w:r>
      <w:r w:rsidR="003B769B" w:rsidRPr="00960183">
        <w:rPr>
          <w:rFonts w:cs="Arial"/>
          <w:b/>
        </w:rPr>
        <w:t>Laufzeit</w:t>
      </w:r>
    </w:p>
    <w:p w14:paraId="766D0141" w14:textId="77777777" w:rsidR="00F77C42" w:rsidRDefault="00130413" w:rsidP="00E43D96">
      <w:pPr>
        <w:spacing w:before="120" w:after="120"/>
        <w:ind w:left="567"/>
        <w:rPr>
          <w:rFonts w:cs="Arial"/>
        </w:rPr>
      </w:pPr>
      <w:r>
        <w:rPr>
          <w:rFonts w:cs="Arial"/>
        </w:rPr>
        <w:t>Inkrafttreten: 1. Januar 201</w:t>
      </w:r>
      <w:r w:rsidR="00F77C42">
        <w:rPr>
          <w:rFonts w:cs="Arial"/>
        </w:rPr>
        <w:t>5</w:t>
      </w:r>
    </w:p>
    <w:p w14:paraId="26603684" w14:textId="20DAB256" w:rsidR="00325EC8" w:rsidRDefault="001F7C2D" w:rsidP="009251BF">
      <w:pPr>
        <w:spacing w:before="120" w:after="120"/>
        <w:ind w:left="567"/>
        <w:rPr>
          <w:rFonts w:cs="Arial"/>
        </w:rPr>
      </w:pPr>
      <w:r>
        <w:rPr>
          <w:rFonts w:cs="Arial"/>
        </w:rPr>
        <w:t>Nummer</w:t>
      </w:r>
      <w:r w:rsidR="00A52368">
        <w:rPr>
          <w:rFonts w:cs="Arial"/>
        </w:rPr>
        <w:t xml:space="preserve"> </w:t>
      </w:r>
      <w:r w:rsidR="00325EC8" w:rsidRPr="00D957A5">
        <w:rPr>
          <w:rFonts w:cs="Arial"/>
        </w:rPr>
        <w:t xml:space="preserve">IV. </w:t>
      </w:r>
      <w:r w:rsidR="008C486B">
        <w:rPr>
          <w:rFonts w:cs="Arial"/>
        </w:rPr>
        <w:t>1</w:t>
      </w:r>
      <w:r w:rsidR="00325EC8" w:rsidRPr="00D957A5">
        <w:rPr>
          <w:rFonts w:cs="Arial"/>
        </w:rPr>
        <w:t>. (Thea</w:t>
      </w:r>
      <w:r w:rsidR="00980CF6">
        <w:rPr>
          <w:rFonts w:cs="Arial"/>
        </w:rPr>
        <w:t>ter und Bühnen) am 1. Juni 2015.</w:t>
      </w:r>
    </w:p>
    <w:p w14:paraId="7562A73A" w14:textId="44B9A0F9" w:rsidR="00C507B4" w:rsidRDefault="007820CE" w:rsidP="00E43D96">
      <w:pPr>
        <w:spacing w:before="120" w:after="120"/>
        <w:ind w:left="567"/>
        <w:rPr>
          <w:rFonts w:cs="Arial"/>
        </w:rPr>
      </w:pPr>
      <w:r w:rsidRPr="00960183">
        <w:rPr>
          <w:rFonts w:cs="Arial"/>
        </w:rPr>
        <w:t xml:space="preserve">Mindestlaufzeit </w:t>
      </w:r>
      <w:r w:rsidR="000A178F" w:rsidRPr="00960183">
        <w:rPr>
          <w:rFonts w:cs="Arial"/>
        </w:rPr>
        <w:t>der</w:t>
      </w:r>
      <w:r w:rsidR="00A1585A" w:rsidRPr="00960183">
        <w:rPr>
          <w:rFonts w:cs="Arial"/>
        </w:rPr>
        <w:t xml:space="preserve"> Regelungen unter </w:t>
      </w:r>
      <w:r w:rsidR="00E509C0">
        <w:rPr>
          <w:rFonts w:cs="Arial"/>
        </w:rPr>
        <w:t xml:space="preserve">Nummer </w:t>
      </w:r>
      <w:r w:rsidR="00873EBF" w:rsidRPr="00960183">
        <w:rPr>
          <w:rFonts w:cs="Arial"/>
        </w:rPr>
        <w:t xml:space="preserve">I. </w:t>
      </w:r>
      <w:r w:rsidRPr="00960183">
        <w:rPr>
          <w:rFonts w:cs="Arial"/>
        </w:rPr>
        <w:t xml:space="preserve">bis zum </w:t>
      </w:r>
      <w:r w:rsidR="00325EC8">
        <w:rPr>
          <w:rFonts w:cs="Arial"/>
        </w:rPr>
        <w:t>31. Dezember 2016</w:t>
      </w:r>
      <w:r w:rsidR="00A6417D">
        <w:rPr>
          <w:rFonts w:cs="Arial"/>
        </w:rPr>
        <w:t>.</w:t>
      </w:r>
      <w:r w:rsidR="00F77C42">
        <w:rPr>
          <w:rFonts w:cs="Arial"/>
        </w:rPr>
        <w:t xml:space="preserve"> </w:t>
      </w:r>
    </w:p>
    <w:p w14:paraId="64B647AA" w14:textId="5D0322D3" w:rsidR="000C0C94" w:rsidRPr="00960183" w:rsidRDefault="000C0C94" w:rsidP="00E43D96">
      <w:pPr>
        <w:spacing w:before="120" w:after="120"/>
        <w:ind w:left="567"/>
        <w:rPr>
          <w:rFonts w:cs="Arial"/>
        </w:rPr>
      </w:pPr>
    </w:p>
    <w:p w14:paraId="3FE83EAB" w14:textId="5F47BE0F" w:rsidR="009445A5" w:rsidRPr="004B2505" w:rsidRDefault="004B2505" w:rsidP="004B2505">
      <w:pPr>
        <w:spacing w:before="120" w:after="120"/>
        <w:ind w:left="567" w:hanging="567"/>
        <w:rPr>
          <w:rFonts w:cs="Arial"/>
          <w:b/>
        </w:rPr>
      </w:pPr>
      <w:r w:rsidRPr="004B2505">
        <w:rPr>
          <w:rFonts w:cs="Arial"/>
          <w:b/>
        </w:rPr>
        <w:t xml:space="preserve">VII. </w:t>
      </w:r>
      <w:r>
        <w:rPr>
          <w:rFonts w:cs="Arial"/>
          <w:b/>
        </w:rPr>
        <w:tab/>
      </w:r>
      <w:r w:rsidRPr="004B2505">
        <w:rPr>
          <w:rFonts w:cs="Arial"/>
          <w:b/>
        </w:rPr>
        <w:t xml:space="preserve">Erklärungsfrist: </w:t>
      </w:r>
      <w:r w:rsidR="00C73F03">
        <w:rPr>
          <w:rFonts w:cs="Arial"/>
          <w:b/>
        </w:rPr>
        <w:t xml:space="preserve">bis </w:t>
      </w:r>
      <w:r w:rsidRPr="004B2505">
        <w:rPr>
          <w:rFonts w:cs="Arial"/>
          <w:b/>
        </w:rPr>
        <w:t>30. April 2015</w:t>
      </w:r>
    </w:p>
    <w:p w14:paraId="108B9136" w14:textId="77777777" w:rsidR="002D0B82" w:rsidRDefault="002D0B82" w:rsidP="00E43D96">
      <w:pPr>
        <w:spacing w:before="120" w:after="120"/>
        <w:ind w:left="567"/>
        <w:rPr>
          <w:rFonts w:cs="Arial"/>
        </w:rPr>
      </w:pPr>
    </w:p>
    <w:p w14:paraId="04831136" w14:textId="77777777" w:rsidR="004B2505" w:rsidRDefault="004B2505" w:rsidP="00E43D96">
      <w:pPr>
        <w:spacing w:before="120" w:after="120"/>
        <w:ind w:left="567"/>
        <w:rPr>
          <w:rFonts w:cs="Arial"/>
        </w:rPr>
      </w:pPr>
    </w:p>
    <w:p w14:paraId="3ED9B667" w14:textId="77777777" w:rsidR="001B226F" w:rsidRDefault="001B226F" w:rsidP="00E43D96">
      <w:pPr>
        <w:spacing w:before="120" w:after="120"/>
        <w:ind w:left="567"/>
        <w:rPr>
          <w:rFonts w:cs="Arial"/>
        </w:rPr>
      </w:pPr>
    </w:p>
    <w:p w14:paraId="4137745F" w14:textId="77777777" w:rsidR="001B226F" w:rsidRPr="00960183" w:rsidRDefault="001B226F" w:rsidP="00E43D96">
      <w:pPr>
        <w:spacing w:before="120" w:after="120"/>
        <w:ind w:left="567"/>
        <w:rPr>
          <w:rFonts w:cs="Arial"/>
        </w:rPr>
      </w:pPr>
    </w:p>
    <w:p w14:paraId="554E735F" w14:textId="2D47874D" w:rsidR="00CA522F" w:rsidRPr="00960183" w:rsidRDefault="00917249" w:rsidP="00E43D96">
      <w:pPr>
        <w:spacing w:before="120" w:after="120"/>
        <w:rPr>
          <w:rFonts w:cs="Arial"/>
        </w:rPr>
      </w:pPr>
      <w:r w:rsidRPr="00A6417D">
        <w:rPr>
          <w:rFonts w:cs="Arial"/>
        </w:rPr>
        <w:t>Potsdam, den</w:t>
      </w:r>
      <w:r w:rsidR="00C507B4" w:rsidRPr="00A6417D">
        <w:rPr>
          <w:rFonts w:cs="Arial"/>
        </w:rPr>
        <w:t xml:space="preserve"> </w:t>
      </w:r>
      <w:r w:rsidR="008C486B">
        <w:rPr>
          <w:rFonts w:cs="Arial"/>
        </w:rPr>
        <w:t>28.</w:t>
      </w:r>
      <w:r w:rsidR="009D5DCD" w:rsidRPr="00A6417D">
        <w:rPr>
          <w:rFonts w:cs="Arial"/>
        </w:rPr>
        <w:t xml:space="preserve"> März 201</w:t>
      </w:r>
      <w:r w:rsidR="0067787D">
        <w:rPr>
          <w:rFonts w:cs="Arial"/>
        </w:rPr>
        <w:t>5</w:t>
      </w:r>
    </w:p>
    <w:p w14:paraId="032D39CC" w14:textId="400A9E2A" w:rsidR="00F2779A" w:rsidRDefault="00F2779A">
      <w:pPr>
        <w:rPr>
          <w:rFonts w:cs="Arial"/>
        </w:rPr>
      </w:pPr>
      <w:r>
        <w:rPr>
          <w:rFonts w:cs="Arial"/>
        </w:rPr>
        <w:br w:type="page"/>
      </w:r>
    </w:p>
    <w:p w14:paraId="526BEAFD" w14:textId="77777777" w:rsidR="00F2779A" w:rsidRPr="00F2779A" w:rsidRDefault="00F2779A" w:rsidP="00F2779A">
      <w:pPr>
        <w:jc w:val="right"/>
        <w:rPr>
          <w:rFonts w:eastAsiaTheme="minorHAnsi" w:cstheme="minorBidi"/>
          <w:b/>
          <w:lang w:eastAsia="en-US"/>
        </w:rPr>
      </w:pPr>
      <w:r w:rsidRPr="00F2779A">
        <w:rPr>
          <w:rFonts w:eastAsiaTheme="minorHAnsi" w:cstheme="minorBidi"/>
          <w:b/>
          <w:lang w:eastAsia="en-US"/>
        </w:rPr>
        <w:lastRenderedPageBreak/>
        <w:t>Anlage 1 zur Tarifeinigung vom 28. März 2015</w:t>
      </w:r>
    </w:p>
    <w:p w14:paraId="07F69E18" w14:textId="77777777" w:rsidR="00F2779A" w:rsidRDefault="00F2779A" w:rsidP="00F2779A">
      <w:pPr>
        <w:rPr>
          <w:rFonts w:eastAsiaTheme="minorHAnsi" w:cstheme="minorBidi"/>
          <w:b/>
          <w:sz w:val="28"/>
          <w:szCs w:val="28"/>
          <w:lang w:eastAsia="en-US"/>
        </w:rPr>
      </w:pPr>
    </w:p>
    <w:p w14:paraId="1122D231" w14:textId="77777777" w:rsidR="00F2779A" w:rsidRPr="00F2779A" w:rsidRDefault="00F2779A" w:rsidP="00F2779A">
      <w:pPr>
        <w:rPr>
          <w:rFonts w:eastAsiaTheme="minorHAnsi" w:cstheme="minorBidi"/>
          <w:b/>
          <w:sz w:val="28"/>
          <w:szCs w:val="28"/>
          <w:lang w:eastAsia="en-US"/>
        </w:rPr>
      </w:pPr>
      <w:r w:rsidRPr="00F2779A">
        <w:rPr>
          <w:rFonts w:eastAsiaTheme="minorHAnsi" w:cstheme="minorBidi"/>
          <w:b/>
          <w:sz w:val="28"/>
          <w:szCs w:val="28"/>
          <w:lang w:eastAsia="en-US"/>
        </w:rPr>
        <w:t>Zusatzversorgung</w:t>
      </w:r>
    </w:p>
    <w:p w14:paraId="7FE652F3" w14:textId="77777777" w:rsidR="00F2779A" w:rsidRPr="00F2779A" w:rsidRDefault="00F2779A" w:rsidP="00F2779A">
      <w:pPr>
        <w:rPr>
          <w:rFonts w:eastAsiaTheme="minorHAnsi" w:cstheme="minorBidi"/>
          <w:lang w:eastAsia="en-US"/>
        </w:rPr>
      </w:pPr>
    </w:p>
    <w:p w14:paraId="42093A79" w14:textId="77777777" w:rsidR="00F2779A" w:rsidRPr="00F2779A" w:rsidRDefault="00F2779A" w:rsidP="00F2779A">
      <w:pPr>
        <w:contextualSpacing/>
        <w:rPr>
          <w:rFonts w:eastAsiaTheme="minorHAnsi" w:cstheme="minorBidi"/>
          <w:b/>
          <w:lang w:eastAsia="en-US"/>
        </w:rPr>
      </w:pPr>
    </w:p>
    <w:p w14:paraId="77151A15" w14:textId="77777777" w:rsidR="00F2779A" w:rsidRPr="00F2779A" w:rsidRDefault="00F2779A" w:rsidP="00F2779A">
      <w:pPr>
        <w:rPr>
          <w:rFonts w:eastAsiaTheme="minorHAnsi" w:cstheme="minorBidi"/>
          <w:lang w:eastAsia="en-US"/>
        </w:rPr>
      </w:pPr>
      <w:r w:rsidRPr="00F2779A">
        <w:rPr>
          <w:rFonts w:eastAsiaTheme="minorHAnsi" w:cstheme="minorBidi"/>
          <w:lang w:eastAsia="en-US"/>
        </w:rPr>
        <w:t xml:space="preserve">Die Tarifvertragsparteien bekennen sich zu ihrer gemeinsamen Verantwortung für die Zusatzversorgung des öffentlichen Dienstes. Die nachstehenden Vereinbarungen werden vor dem Hintergrund veränderter Rahmenbedingungen (Lebenserwartung, Niedrigzinsphase) geschlossen. </w:t>
      </w:r>
    </w:p>
    <w:p w14:paraId="7F968791" w14:textId="77777777" w:rsidR="00F2779A" w:rsidRPr="00F2779A" w:rsidRDefault="00F2779A" w:rsidP="00F2779A">
      <w:pPr>
        <w:rPr>
          <w:rFonts w:eastAsiaTheme="minorHAnsi" w:cstheme="minorBidi"/>
          <w:lang w:eastAsia="en-US"/>
        </w:rPr>
      </w:pPr>
    </w:p>
    <w:p w14:paraId="4CDBD444" w14:textId="77777777" w:rsidR="00F2779A" w:rsidRPr="00F2779A" w:rsidRDefault="00F2779A" w:rsidP="00F2779A">
      <w:pPr>
        <w:ind w:left="426" w:hanging="426"/>
        <w:contextualSpacing/>
        <w:rPr>
          <w:rFonts w:eastAsiaTheme="minorHAnsi" w:cstheme="minorBidi"/>
          <w:b/>
          <w:lang w:eastAsia="en-US"/>
        </w:rPr>
      </w:pPr>
      <w:r w:rsidRPr="00F2779A">
        <w:rPr>
          <w:rFonts w:eastAsiaTheme="minorHAnsi" w:cstheme="minorBidi"/>
          <w:b/>
          <w:lang w:eastAsia="en-US"/>
        </w:rPr>
        <w:t xml:space="preserve">I. </w:t>
      </w:r>
      <w:r w:rsidRPr="00F2779A">
        <w:rPr>
          <w:rFonts w:eastAsiaTheme="minorHAnsi" w:cstheme="minorBidi"/>
          <w:b/>
          <w:lang w:eastAsia="en-US"/>
        </w:rPr>
        <w:tab/>
        <w:t>Einigung zur Zusatzversorgung für den Bereich der TdL</w:t>
      </w:r>
    </w:p>
    <w:p w14:paraId="286B01A8" w14:textId="77777777" w:rsidR="00F2779A" w:rsidRPr="00F2779A" w:rsidRDefault="00F2779A" w:rsidP="00F2779A">
      <w:pPr>
        <w:ind w:left="360"/>
        <w:contextualSpacing/>
        <w:rPr>
          <w:rFonts w:eastAsiaTheme="minorHAnsi" w:cstheme="minorBidi"/>
          <w:lang w:eastAsia="en-US"/>
        </w:rPr>
      </w:pPr>
    </w:p>
    <w:p w14:paraId="2C2B526A" w14:textId="77777777" w:rsidR="00F2779A" w:rsidRPr="00F2779A" w:rsidRDefault="00F2779A" w:rsidP="00F2779A">
      <w:pPr>
        <w:ind w:left="360"/>
        <w:contextualSpacing/>
        <w:rPr>
          <w:rFonts w:eastAsiaTheme="minorHAnsi" w:cstheme="minorBidi"/>
          <w:lang w:eastAsia="en-US"/>
        </w:rPr>
      </w:pPr>
      <w:r w:rsidRPr="00F2779A">
        <w:rPr>
          <w:rFonts w:eastAsiaTheme="minorHAnsi" w:cstheme="minorBidi"/>
          <w:lang w:eastAsia="en-US"/>
        </w:rPr>
        <w:t>Im Vorfeld einer Änderung des ATV wird im Zuge der Redaktionsverhandlungen zu dieser Tarifrunde zunächst ein Zusatztarifvertrag zum ATV vereinbart in dem ergänzend zum bzw. abweichend vom ATV Folgendes geregelt wird:</w:t>
      </w:r>
    </w:p>
    <w:p w14:paraId="150571D2" w14:textId="77777777" w:rsidR="00F2779A" w:rsidRPr="00F2779A" w:rsidRDefault="00F2779A" w:rsidP="00F2779A">
      <w:pPr>
        <w:rPr>
          <w:rFonts w:eastAsiaTheme="minorHAnsi" w:cstheme="minorBidi"/>
          <w:lang w:eastAsia="en-US"/>
        </w:rPr>
      </w:pPr>
    </w:p>
    <w:p w14:paraId="0CEC3971" w14:textId="77777777" w:rsidR="00F2779A" w:rsidRPr="00F2779A" w:rsidRDefault="00F2779A" w:rsidP="00F2779A">
      <w:pPr>
        <w:numPr>
          <w:ilvl w:val="0"/>
          <w:numId w:val="40"/>
        </w:numPr>
        <w:ind w:left="851" w:hanging="491"/>
        <w:contextualSpacing/>
        <w:rPr>
          <w:rFonts w:eastAsiaTheme="minorHAnsi" w:cstheme="minorBidi"/>
          <w:lang w:eastAsia="en-US"/>
        </w:rPr>
      </w:pPr>
      <w:r w:rsidRPr="00F2779A">
        <w:rPr>
          <w:rFonts w:eastAsiaTheme="minorHAnsi" w:cstheme="minorBidi"/>
          <w:lang w:eastAsia="en-US"/>
        </w:rPr>
        <w:t>Es werden die folgenden zusätzlichen Finanzierungsanteile von den Beschäftigten erhoben:</w:t>
      </w:r>
    </w:p>
    <w:p w14:paraId="5D6467B6" w14:textId="77777777" w:rsidR="00F2779A" w:rsidRPr="00F2779A" w:rsidRDefault="00F2779A" w:rsidP="00F2779A">
      <w:pPr>
        <w:numPr>
          <w:ilvl w:val="0"/>
          <w:numId w:val="39"/>
        </w:numPr>
        <w:contextualSpacing/>
        <w:rPr>
          <w:rFonts w:eastAsiaTheme="minorHAnsi" w:cstheme="minorBidi"/>
          <w:lang w:eastAsia="en-US"/>
        </w:rPr>
      </w:pPr>
      <w:r w:rsidRPr="00F2779A">
        <w:rPr>
          <w:rFonts w:eastAsiaTheme="minorHAnsi" w:cstheme="minorBidi"/>
          <w:lang w:eastAsia="en-US"/>
        </w:rPr>
        <w:t>In der VBL-West wird neben dem Arbeitnehmerbeitrag zur Umlage von derzeit 1,41 v. H. folgender zusätzlicher Arbeitnehmerbeitrag zur Umlage erhoben:</w:t>
      </w:r>
    </w:p>
    <w:p w14:paraId="6FEB8BC7"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ab 1. Juli 2015   0,2 v. H.,</w:t>
      </w:r>
    </w:p>
    <w:p w14:paraId="3A5E4941"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ab 1. Juli 2016   0,3 v. H. und</w:t>
      </w:r>
    </w:p>
    <w:p w14:paraId="4E2D151C"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ab 1. Juli 2017   0,4 v. H.</w:t>
      </w:r>
    </w:p>
    <w:p w14:paraId="328FAC7D" w14:textId="77777777" w:rsidR="00F2779A" w:rsidRPr="00F2779A" w:rsidRDefault="00F2779A" w:rsidP="00F2779A">
      <w:pPr>
        <w:ind w:left="1212"/>
        <w:contextualSpacing/>
        <w:rPr>
          <w:rFonts w:eastAsiaTheme="minorHAnsi" w:cstheme="minorBidi"/>
          <w:lang w:eastAsia="en-US"/>
        </w:rPr>
      </w:pPr>
      <w:r w:rsidRPr="00F2779A">
        <w:rPr>
          <w:rFonts w:eastAsiaTheme="minorHAnsi" w:cstheme="minorBidi"/>
          <w:lang w:eastAsia="en-US"/>
        </w:rPr>
        <w:t>Der zusätzliche Arbeitnehmerbeitrag zur Umlage wird zunächst angespart mit dem Ziel, die biometrischen Risiken zu finanzieren. Die Anhebung des Arbeitnehmerbeitrags gilt entsprechend für Beschäftigte im Abrechnungsverband Ost der VBL, für die der Umlagesatz West maßgeblich ist.</w:t>
      </w:r>
    </w:p>
    <w:p w14:paraId="4CD8FEAB" w14:textId="77777777" w:rsidR="00F2779A" w:rsidRPr="00F2779A" w:rsidRDefault="00F2779A" w:rsidP="00F2779A">
      <w:pPr>
        <w:numPr>
          <w:ilvl w:val="0"/>
          <w:numId w:val="39"/>
        </w:numPr>
        <w:contextualSpacing/>
        <w:rPr>
          <w:rFonts w:eastAsiaTheme="minorHAnsi" w:cstheme="minorBidi"/>
          <w:lang w:eastAsia="en-US"/>
        </w:rPr>
      </w:pPr>
      <w:r w:rsidRPr="00F2779A">
        <w:rPr>
          <w:rFonts w:eastAsiaTheme="minorHAnsi" w:cstheme="minorBidi"/>
          <w:lang w:eastAsia="en-US"/>
        </w:rPr>
        <w:t>In der VBL-Ost wird der Arbeitnehmerbeitrag zur Kapitaldeckung von derzeit 2,0 v.H. wie folgt erhöht:</w:t>
      </w:r>
    </w:p>
    <w:p w14:paraId="3BAEB5FF"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 xml:space="preserve">ab 1. Juli 2015 auf 2,75 v. H., </w:t>
      </w:r>
    </w:p>
    <w:p w14:paraId="3888C33D"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ab 1. Juli 2016 auf 3,50 v. H. und</w:t>
      </w:r>
    </w:p>
    <w:p w14:paraId="71B6DF90" w14:textId="77777777" w:rsidR="00F2779A" w:rsidRPr="00F2779A" w:rsidRDefault="00F2779A" w:rsidP="00F2779A">
      <w:pPr>
        <w:numPr>
          <w:ilvl w:val="0"/>
          <w:numId w:val="42"/>
        </w:numPr>
        <w:contextualSpacing/>
        <w:rPr>
          <w:rFonts w:eastAsiaTheme="minorHAnsi" w:cstheme="minorBidi"/>
          <w:lang w:eastAsia="en-US"/>
        </w:rPr>
      </w:pPr>
      <w:r w:rsidRPr="00F2779A">
        <w:rPr>
          <w:rFonts w:eastAsiaTheme="minorHAnsi" w:cstheme="minorBidi"/>
          <w:lang w:eastAsia="en-US"/>
        </w:rPr>
        <w:t>ab 1. Juli 2017 auf 4,25 v. H.</w:t>
      </w:r>
    </w:p>
    <w:p w14:paraId="0FAB8071" w14:textId="77777777" w:rsidR="00F2779A" w:rsidRPr="00F2779A" w:rsidRDefault="00F2779A" w:rsidP="00F2779A">
      <w:pPr>
        <w:ind w:left="1212"/>
        <w:contextualSpacing/>
        <w:rPr>
          <w:rFonts w:eastAsiaTheme="minorHAnsi" w:cstheme="minorBidi"/>
          <w:lang w:eastAsia="en-US"/>
        </w:rPr>
      </w:pPr>
      <w:r w:rsidRPr="00F2779A">
        <w:rPr>
          <w:rFonts w:eastAsiaTheme="minorHAnsi" w:cstheme="minorBidi"/>
          <w:lang w:eastAsia="en-US"/>
        </w:rPr>
        <w:t>Der Arbeitgeberbeitrag in die Kapitaldeckung der VBL-Ost bleibt bei 2,0 v.H.</w:t>
      </w:r>
    </w:p>
    <w:p w14:paraId="416B1C88" w14:textId="77777777" w:rsidR="00F2779A" w:rsidRPr="00F2779A" w:rsidRDefault="00F2779A" w:rsidP="00F2779A">
      <w:pPr>
        <w:ind w:left="1212"/>
        <w:contextualSpacing/>
        <w:rPr>
          <w:rFonts w:eastAsiaTheme="minorHAnsi" w:cstheme="minorBidi"/>
          <w:lang w:eastAsia="en-US"/>
        </w:rPr>
      </w:pPr>
    </w:p>
    <w:p w14:paraId="45327110" w14:textId="77777777" w:rsidR="00F2779A" w:rsidRPr="00F2779A" w:rsidRDefault="00F2779A" w:rsidP="00F2779A">
      <w:pPr>
        <w:numPr>
          <w:ilvl w:val="0"/>
          <w:numId w:val="40"/>
        </w:numPr>
        <w:ind w:left="851" w:hanging="491"/>
        <w:contextualSpacing/>
        <w:rPr>
          <w:rFonts w:eastAsiaTheme="minorHAnsi" w:cstheme="minorBidi"/>
          <w:lang w:eastAsia="en-US"/>
        </w:rPr>
      </w:pPr>
      <w:r w:rsidRPr="00F2779A">
        <w:rPr>
          <w:rFonts w:eastAsiaTheme="minorHAnsi" w:cstheme="minorBidi"/>
          <w:lang w:eastAsia="en-US"/>
        </w:rPr>
        <w:t xml:space="preserve">Die Arbeitgeber tragen einen entsprechenden Finanzierungsanteil im Rahmen des Umlageverfahrens entsprechend dem periodischen Bedarf; das bedeutet: Entsprechend dem periodischen Bedarf tragen die Arbeitgeber künftig eine Umlage von </w:t>
      </w:r>
    </w:p>
    <w:p w14:paraId="3B283C9E" w14:textId="77777777" w:rsidR="00F2779A" w:rsidRPr="00F2779A" w:rsidRDefault="00F2779A" w:rsidP="00F2779A">
      <w:pPr>
        <w:numPr>
          <w:ilvl w:val="0"/>
          <w:numId w:val="43"/>
        </w:numPr>
        <w:contextualSpacing/>
        <w:rPr>
          <w:rFonts w:eastAsiaTheme="minorHAnsi" w:cstheme="minorBidi"/>
          <w:lang w:eastAsia="en-US"/>
        </w:rPr>
      </w:pPr>
      <w:r w:rsidRPr="00F2779A">
        <w:rPr>
          <w:rFonts w:eastAsiaTheme="minorHAnsi" w:cstheme="minorBidi"/>
          <w:lang w:eastAsia="en-US"/>
        </w:rPr>
        <w:t xml:space="preserve">6,45 v. H. bis zu 6,85 v. H. in der VBL-West bzw. </w:t>
      </w:r>
    </w:p>
    <w:p w14:paraId="11AA5005" w14:textId="77777777" w:rsidR="00F2779A" w:rsidRPr="00F2779A" w:rsidRDefault="00F2779A" w:rsidP="00F2779A">
      <w:pPr>
        <w:numPr>
          <w:ilvl w:val="0"/>
          <w:numId w:val="43"/>
        </w:numPr>
        <w:contextualSpacing/>
        <w:rPr>
          <w:rFonts w:eastAsiaTheme="minorHAnsi" w:cstheme="minorBidi"/>
          <w:lang w:eastAsia="en-US"/>
        </w:rPr>
      </w:pPr>
      <w:r w:rsidRPr="00F2779A">
        <w:rPr>
          <w:rFonts w:eastAsiaTheme="minorHAnsi" w:cstheme="minorBidi"/>
          <w:lang w:eastAsia="en-US"/>
        </w:rPr>
        <w:t>1,00 v. H. bis zu 3,25 v. H. in der VBL-Ost.</w:t>
      </w:r>
    </w:p>
    <w:p w14:paraId="4DCC8264" w14:textId="77777777" w:rsidR="00F2779A" w:rsidRPr="00F2779A" w:rsidRDefault="00F2779A" w:rsidP="00F2779A">
      <w:pPr>
        <w:ind w:left="851"/>
        <w:rPr>
          <w:rFonts w:eastAsiaTheme="minorHAnsi" w:cstheme="minorBidi"/>
          <w:lang w:eastAsia="en-US"/>
        </w:rPr>
      </w:pPr>
      <w:r w:rsidRPr="00F2779A">
        <w:rPr>
          <w:rFonts w:eastAsiaTheme="minorHAnsi" w:cstheme="minorBidi"/>
          <w:lang w:eastAsia="en-US"/>
        </w:rPr>
        <w:t>In der VBL-Ost werden mit der Umlage künftig auch die Leistungen finanziert, soweit die Entnahmen aus der Kapitaldeckung dazu nicht ausreichen (Ausgleich einer Unterdeckung in der Kapitaldeckung durch Mischfinanzierung).</w:t>
      </w:r>
    </w:p>
    <w:p w14:paraId="39B32778" w14:textId="77777777" w:rsidR="00F2779A" w:rsidRPr="00F2779A" w:rsidRDefault="00F2779A" w:rsidP="00F2779A">
      <w:pPr>
        <w:rPr>
          <w:rFonts w:eastAsiaTheme="minorHAnsi" w:cstheme="minorBidi"/>
          <w:lang w:eastAsia="en-US"/>
        </w:rPr>
      </w:pPr>
    </w:p>
    <w:p w14:paraId="28FE0B13" w14:textId="77777777" w:rsidR="00F2779A" w:rsidRPr="00F2779A" w:rsidRDefault="00F2779A" w:rsidP="00F2779A">
      <w:pPr>
        <w:numPr>
          <w:ilvl w:val="0"/>
          <w:numId w:val="40"/>
        </w:numPr>
        <w:ind w:left="851" w:hanging="491"/>
        <w:contextualSpacing/>
        <w:rPr>
          <w:rFonts w:eastAsiaTheme="minorHAnsi" w:cstheme="minorBidi"/>
          <w:lang w:eastAsia="en-US"/>
        </w:rPr>
      </w:pPr>
      <w:r w:rsidRPr="00F2779A">
        <w:rPr>
          <w:rFonts w:eastAsiaTheme="minorHAnsi" w:cstheme="minorBidi"/>
          <w:lang w:eastAsia="en-US"/>
        </w:rPr>
        <w:t>Die Anpassungen erfolgen ausschließlich auf der Finanzierungsseite, die bisherigen und die künftigen Ansprüche (Startgutschriften, Anwartschaften aus dem Punktemodell, Anwartschaftsdynamik und Renten) bleiben unverändert (keine Verschlechterungen, keine Verbesserungen).</w:t>
      </w:r>
    </w:p>
    <w:p w14:paraId="34FBA1A2" w14:textId="77777777" w:rsidR="00F2779A" w:rsidRPr="00F2779A" w:rsidRDefault="00F2779A" w:rsidP="00F2779A">
      <w:pPr>
        <w:ind w:left="851"/>
        <w:contextualSpacing/>
        <w:rPr>
          <w:rFonts w:eastAsiaTheme="minorHAnsi" w:cstheme="minorBidi"/>
          <w:lang w:eastAsia="en-US"/>
        </w:rPr>
      </w:pPr>
      <w:r w:rsidRPr="00F2779A">
        <w:rPr>
          <w:rFonts w:eastAsiaTheme="minorHAnsi" w:cstheme="minorBidi"/>
          <w:lang w:eastAsia="en-US"/>
        </w:rPr>
        <w:lastRenderedPageBreak/>
        <w:t>Das bedeutet z. B.:</w:t>
      </w:r>
    </w:p>
    <w:p w14:paraId="34749380" w14:textId="77777777" w:rsidR="00F2779A" w:rsidRPr="00F2779A" w:rsidRDefault="00F2779A" w:rsidP="00F2779A">
      <w:pPr>
        <w:numPr>
          <w:ilvl w:val="0"/>
          <w:numId w:val="41"/>
        </w:numPr>
        <w:contextualSpacing/>
        <w:rPr>
          <w:rFonts w:eastAsiaTheme="minorHAnsi" w:cstheme="minorBidi"/>
          <w:lang w:eastAsia="en-US"/>
        </w:rPr>
      </w:pPr>
      <w:r w:rsidRPr="00F2779A">
        <w:rPr>
          <w:rFonts w:eastAsiaTheme="minorHAnsi" w:cstheme="minorBidi"/>
          <w:lang w:eastAsia="en-US"/>
        </w:rPr>
        <w:t xml:space="preserve">Die Anwartschaften und Überschüsse werden weiterhin auf der Basis eines Beitrags von 4,0 v. H. berechnet. Die Tarifvertragsparteien gehen davon aus, dass wegen der unverändert hohen Mindestverzinsung zumindest mittelfristig weiterhin keine Ausschüttung von Bonuspunkten für die Startgutschriften und die seit 2001 im Punktemodell erworbenen Anwartschaften (kommunizierende Röhren) erfolgen wird. </w:t>
      </w:r>
    </w:p>
    <w:p w14:paraId="774B728F" w14:textId="77777777" w:rsidR="00F2779A" w:rsidRPr="00F2779A" w:rsidRDefault="00F2779A" w:rsidP="00F2779A">
      <w:pPr>
        <w:numPr>
          <w:ilvl w:val="0"/>
          <w:numId w:val="41"/>
        </w:numPr>
        <w:contextualSpacing/>
        <w:rPr>
          <w:rFonts w:eastAsiaTheme="minorHAnsi" w:cstheme="minorBidi"/>
          <w:lang w:eastAsia="en-US"/>
        </w:rPr>
      </w:pPr>
      <w:proofErr w:type="gramStart"/>
      <w:r w:rsidRPr="00F2779A">
        <w:rPr>
          <w:rFonts w:eastAsiaTheme="minorHAnsi" w:cstheme="minorBidi"/>
          <w:lang w:eastAsia="en-US"/>
        </w:rPr>
        <w:t>Die Unverfallbarkeit der Anwartschaften in der VBL-Ost bleibt unverändert: Zwar wird an der Grundkonstruktion des Leistungsrechts festgehalten (= Leistungen wie bei 4,0 v. H. Beitrag in die Kapitaldeckung), tatsächlich wäre aber insbesondere aufgrund der aktuellen Niedrigzinsphase ein Beitrag von über 8,0 v. H. zur Finanzierung der Leistungen erforderlich, der verbleibende Finanzierungsaufwand wird künftig auch im Umlageverfahren aufgebracht (Mischfinanzierung); trotz eines erhöhten Finanzierungsanteils der Beschäftigten ergibt sich damit keine Erhöhung des sofort unverfallbaren Teils der Anwartschaft.</w:t>
      </w:r>
      <w:proofErr w:type="gramEnd"/>
      <w:r w:rsidRPr="00F2779A">
        <w:rPr>
          <w:rFonts w:eastAsiaTheme="minorHAnsi" w:cstheme="minorBidi"/>
          <w:lang w:eastAsia="en-US"/>
        </w:rPr>
        <w:t xml:space="preserve"> </w:t>
      </w:r>
    </w:p>
    <w:p w14:paraId="2476C8B8" w14:textId="77777777" w:rsidR="00F2779A" w:rsidRPr="00F2779A" w:rsidRDefault="00F2779A" w:rsidP="00F2779A">
      <w:pPr>
        <w:ind w:left="851"/>
        <w:contextualSpacing/>
        <w:rPr>
          <w:rFonts w:eastAsiaTheme="minorHAnsi" w:cstheme="minorBidi"/>
          <w:lang w:eastAsia="en-US"/>
        </w:rPr>
      </w:pPr>
    </w:p>
    <w:p w14:paraId="7BFEFC8D" w14:textId="77777777" w:rsidR="00F2779A" w:rsidRPr="00F2779A" w:rsidRDefault="00F2779A" w:rsidP="00F2779A">
      <w:pPr>
        <w:numPr>
          <w:ilvl w:val="0"/>
          <w:numId w:val="40"/>
        </w:numPr>
        <w:ind w:left="851" w:hanging="491"/>
        <w:contextualSpacing/>
        <w:rPr>
          <w:rFonts w:eastAsiaTheme="minorHAnsi" w:cstheme="minorBidi"/>
          <w:lang w:eastAsia="en-US"/>
        </w:rPr>
      </w:pPr>
      <w:r w:rsidRPr="00F2779A">
        <w:rPr>
          <w:rFonts w:eastAsiaTheme="minorHAnsi" w:cstheme="minorBidi"/>
          <w:lang w:eastAsia="en-US"/>
        </w:rPr>
        <w:t xml:space="preserve">Die Tarifvertragsparteien verpflichten sich, die Angemessenheit der vereinbarten (paritätischen) Finanzierungsregelungen im Hinblick auf die dieser Vereinbarung zugrunde liegenden Rahmenbedingungen (Lebenserwartung und Niedrigzinsphase [Auswertungen von </w:t>
      </w:r>
      <w:proofErr w:type="spellStart"/>
      <w:r w:rsidRPr="00F2779A">
        <w:rPr>
          <w:rFonts w:eastAsiaTheme="minorHAnsi" w:cstheme="minorBidi"/>
          <w:lang w:eastAsia="en-US"/>
        </w:rPr>
        <w:t>AONHewitt</w:t>
      </w:r>
      <w:proofErr w:type="spellEnd"/>
      <w:r w:rsidRPr="00F2779A">
        <w:rPr>
          <w:rFonts w:eastAsiaTheme="minorHAnsi" w:cstheme="minorBidi"/>
          <w:lang w:eastAsia="en-US"/>
        </w:rPr>
        <w:t xml:space="preserve">]) regelmäßig zu überprüfen. </w:t>
      </w:r>
    </w:p>
    <w:p w14:paraId="002BB8E5" w14:textId="77777777" w:rsidR="00F2779A" w:rsidRPr="00F2779A" w:rsidRDefault="00F2779A" w:rsidP="00F2779A">
      <w:pPr>
        <w:ind w:left="851"/>
        <w:contextualSpacing/>
        <w:rPr>
          <w:rFonts w:eastAsiaTheme="minorHAnsi" w:cstheme="minorBidi"/>
          <w:lang w:eastAsia="en-US"/>
        </w:rPr>
      </w:pPr>
    </w:p>
    <w:p w14:paraId="2860CC7C" w14:textId="77777777" w:rsidR="00F2779A" w:rsidRPr="00F2779A" w:rsidRDefault="00F2779A" w:rsidP="00F2779A">
      <w:pPr>
        <w:numPr>
          <w:ilvl w:val="0"/>
          <w:numId w:val="40"/>
        </w:numPr>
        <w:ind w:left="851" w:hanging="491"/>
        <w:contextualSpacing/>
        <w:rPr>
          <w:rFonts w:eastAsiaTheme="minorHAnsi" w:cstheme="minorBidi"/>
          <w:lang w:eastAsia="en-US"/>
        </w:rPr>
      </w:pPr>
      <w:r w:rsidRPr="00F2779A">
        <w:rPr>
          <w:rFonts w:eastAsiaTheme="minorHAnsi" w:cstheme="minorBidi"/>
          <w:lang w:eastAsia="en-US"/>
        </w:rPr>
        <w:t>Kündigungstermin ATV: mit dreimonatiger Frist frühestens zum 31. Dezember 2024.</w:t>
      </w:r>
    </w:p>
    <w:p w14:paraId="249179BB" w14:textId="77777777" w:rsidR="00F2779A" w:rsidRPr="00F2779A" w:rsidRDefault="00F2779A" w:rsidP="00F2779A">
      <w:pPr>
        <w:rPr>
          <w:rFonts w:eastAsiaTheme="minorHAnsi" w:cstheme="minorBidi"/>
          <w:lang w:eastAsia="en-US"/>
        </w:rPr>
      </w:pPr>
    </w:p>
    <w:p w14:paraId="7BF7C423" w14:textId="77777777" w:rsidR="00F2779A" w:rsidRPr="00F2779A" w:rsidRDefault="00F2779A" w:rsidP="00F2779A">
      <w:pPr>
        <w:ind w:left="426" w:hanging="426"/>
        <w:contextualSpacing/>
        <w:rPr>
          <w:rFonts w:eastAsiaTheme="minorHAnsi" w:cstheme="minorBidi"/>
          <w:b/>
          <w:lang w:eastAsia="en-US"/>
        </w:rPr>
      </w:pPr>
      <w:r w:rsidRPr="00F2779A">
        <w:rPr>
          <w:rFonts w:eastAsiaTheme="minorHAnsi" w:cstheme="minorBidi"/>
          <w:b/>
          <w:lang w:eastAsia="en-US"/>
        </w:rPr>
        <w:t xml:space="preserve">II. </w:t>
      </w:r>
      <w:r w:rsidRPr="00F2779A">
        <w:rPr>
          <w:rFonts w:eastAsiaTheme="minorHAnsi" w:cstheme="minorBidi"/>
          <w:b/>
          <w:lang w:eastAsia="en-US"/>
        </w:rPr>
        <w:tab/>
        <w:t>Ziel einer entsprechenden Anpassung des ATV und der VBL-Satzung</w:t>
      </w:r>
    </w:p>
    <w:p w14:paraId="6B2C5E4F" w14:textId="77777777" w:rsidR="00F2779A" w:rsidRPr="00F2779A" w:rsidRDefault="00F2779A" w:rsidP="00F2779A">
      <w:pPr>
        <w:ind w:left="426"/>
        <w:contextualSpacing/>
        <w:rPr>
          <w:rFonts w:eastAsiaTheme="minorHAnsi" w:cstheme="minorBidi"/>
          <w:lang w:eastAsia="en-US"/>
        </w:rPr>
      </w:pPr>
    </w:p>
    <w:p w14:paraId="202AF69C" w14:textId="77777777" w:rsidR="00F2779A" w:rsidRPr="00F2779A" w:rsidRDefault="00F2779A" w:rsidP="00F2779A">
      <w:pPr>
        <w:ind w:left="426"/>
        <w:contextualSpacing/>
        <w:rPr>
          <w:rFonts w:eastAsiaTheme="minorHAnsi" w:cstheme="minorBidi"/>
          <w:lang w:eastAsia="en-US"/>
        </w:rPr>
      </w:pPr>
      <w:proofErr w:type="gramStart"/>
      <w:r w:rsidRPr="00F2779A">
        <w:rPr>
          <w:rFonts w:eastAsiaTheme="minorHAnsi" w:cstheme="minorBidi"/>
          <w:lang w:eastAsia="en-US"/>
        </w:rPr>
        <w:t>Sollte im Bereich des Bundes und/oder der VKA eine entsprechende Änderung nicht zustande kommen, werden die Tarifvertragsparteien auf ihre Vertreter in den VBL-Gremien hinwirken in der VBL-Satzung Regelungen zu beschließen, nach der die zusätzlichen Finanzierungsmittel nach dem Zusatztarifvertrag zum ATV bei der Finanzierung künftiger Leistungen allein den Arbeitgebern und Beschäftigten der TdL-Mitglieder zugerechnet werden sowie solchen Arbeitgebern und Beschäftigten, die aufgrund vertraglicher Bezugnahme oder aus sonstigen Gründen entsprechend verfahren.</w:t>
      </w:r>
      <w:proofErr w:type="gramEnd"/>
      <w:r w:rsidRPr="00F2779A">
        <w:rPr>
          <w:rFonts w:eastAsiaTheme="minorHAnsi" w:cstheme="minorBidi"/>
          <w:lang w:eastAsia="en-US"/>
        </w:rPr>
        <w:t xml:space="preserve"> </w:t>
      </w:r>
    </w:p>
    <w:p w14:paraId="2B438688" w14:textId="77777777" w:rsidR="00F2779A" w:rsidRPr="00F2779A" w:rsidRDefault="00F2779A" w:rsidP="00F2779A">
      <w:pPr>
        <w:ind w:left="360"/>
        <w:contextualSpacing/>
        <w:rPr>
          <w:rFonts w:eastAsiaTheme="minorHAnsi" w:cstheme="minorBidi"/>
          <w:lang w:eastAsia="en-US"/>
        </w:rPr>
      </w:pPr>
    </w:p>
    <w:p w14:paraId="588CCA4C" w14:textId="77777777" w:rsidR="00F2779A" w:rsidRPr="00F2779A" w:rsidRDefault="00F2779A" w:rsidP="00F2779A">
      <w:pPr>
        <w:ind w:left="426" w:hanging="426"/>
        <w:rPr>
          <w:rFonts w:eastAsiaTheme="minorHAnsi" w:cstheme="minorBidi"/>
          <w:b/>
          <w:lang w:eastAsia="en-US"/>
        </w:rPr>
      </w:pPr>
      <w:r w:rsidRPr="00F2779A">
        <w:rPr>
          <w:rFonts w:eastAsiaTheme="minorHAnsi" w:cstheme="minorBidi"/>
          <w:b/>
          <w:lang w:eastAsia="en-US"/>
        </w:rPr>
        <w:t>III. Vereinbarung zur ZVK-Saar</w:t>
      </w:r>
    </w:p>
    <w:p w14:paraId="2C39BCF9" w14:textId="77777777" w:rsidR="00F2779A" w:rsidRPr="00F2779A" w:rsidRDefault="00F2779A" w:rsidP="00F2779A">
      <w:pPr>
        <w:ind w:left="426" w:hanging="426"/>
        <w:rPr>
          <w:rFonts w:eastAsiaTheme="minorHAnsi" w:cstheme="minorBidi"/>
          <w:lang w:eastAsia="en-US"/>
        </w:rPr>
      </w:pPr>
    </w:p>
    <w:p w14:paraId="3E135D7F" w14:textId="77777777" w:rsidR="00F2779A" w:rsidRPr="00F2779A" w:rsidRDefault="00F2779A" w:rsidP="00F2779A">
      <w:pPr>
        <w:tabs>
          <w:tab w:val="left" w:pos="3135"/>
        </w:tabs>
        <w:ind w:left="426"/>
        <w:rPr>
          <w:rFonts w:eastAsiaTheme="minorHAnsi" w:cstheme="minorBidi"/>
          <w:lang w:eastAsia="en-US"/>
        </w:rPr>
      </w:pPr>
      <w:r w:rsidRPr="00F2779A">
        <w:rPr>
          <w:rFonts w:eastAsiaTheme="minorHAnsi" w:cstheme="minorBidi"/>
          <w:lang w:eastAsia="en-US"/>
        </w:rPr>
        <w:t xml:space="preserve">Die vorgenannten Vereinbarungen zum zusätzlichen Arbeitnehmerbeitrag in der VBL-West gelten für die bei der ZVK-Saar versicherten Beschäftigten des Saarlandes entsprechend ab dem Zeitpunkt einer entsprechenden Satzungsänderung der ZVK-Saar. Die Tarifvertragsparteien wirken auf ihre Vertreter in den Gremien hin, dies entsprechend in der Satzung der ZVK-Saar umzusetzen. </w:t>
      </w:r>
    </w:p>
    <w:p w14:paraId="72627DE8" w14:textId="38672B37" w:rsidR="00F2779A" w:rsidRDefault="00F2779A">
      <w:pPr>
        <w:rPr>
          <w:rFonts w:cs="Arial"/>
        </w:rPr>
      </w:pPr>
      <w:r>
        <w:rPr>
          <w:rFonts w:cs="Arial"/>
        </w:rPr>
        <w:br w:type="page"/>
      </w:r>
    </w:p>
    <w:p w14:paraId="35AE6DE6" w14:textId="77777777" w:rsidR="00F2779A" w:rsidRPr="008A5671" w:rsidRDefault="00F2779A" w:rsidP="00F2779A">
      <w:pPr>
        <w:spacing w:before="120" w:after="120"/>
        <w:jc w:val="right"/>
        <w:rPr>
          <w:rFonts w:cs="Arial"/>
          <w:b/>
        </w:rPr>
      </w:pPr>
      <w:r w:rsidRPr="008A5671">
        <w:rPr>
          <w:rFonts w:cs="Arial"/>
          <w:b/>
        </w:rPr>
        <w:lastRenderedPageBreak/>
        <w:t xml:space="preserve">Anlage </w:t>
      </w:r>
      <w:r>
        <w:rPr>
          <w:rFonts w:cs="Arial"/>
          <w:b/>
        </w:rPr>
        <w:t>2 zur Tarifeinigung vom 28. März 2015</w:t>
      </w:r>
    </w:p>
    <w:p w14:paraId="7FBAD111" w14:textId="77777777" w:rsidR="00F2779A" w:rsidRDefault="00F2779A" w:rsidP="00F2779A">
      <w:pPr>
        <w:spacing w:before="120" w:after="120"/>
        <w:rPr>
          <w:rFonts w:cs="Arial"/>
        </w:rPr>
      </w:pPr>
    </w:p>
    <w:p w14:paraId="3CF37914" w14:textId="77777777" w:rsidR="00F2779A" w:rsidRPr="005C6AAB" w:rsidRDefault="00F2779A" w:rsidP="00F2779A">
      <w:pPr>
        <w:spacing w:before="120" w:after="120"/>
        <w:rPr>
          <w:rFonts w:cs="Arial"/>
          <w:b/>
          <w:sz w:val="28"/>
          <w:szCs w:val="28"/>
        </w:rPr>
      </w:pPr>
      <w:r w:rsidRPr="005C6AAB">
        <w:rPr>
          <w:rFonts w:cs="Arial"/>
          <w:b/>
          <w:sz w:val="28"/>
          <w:szCs w:val="28"/>
        </w:rPr>
        <w:t>Geltungsbereich Theater und Bühnen</w:t>
      </w:r>
    </w:p>
    <w:p w14:paraId="6378D080" w14:textId="77777777" w:rsidR="00F2779A" w:rsidRDefault="00F2779A" w:rsidP="00F2779A">
      <w:pPr>
        <w:spacing w:before="120" w:after="120"/>
        <w:rPr>
          <w:rFonts w:cs="Arial"/>
        </w:rPr>
      </w:pPr>
    </w:p>
    <w:p w14:paraId="2CE3AF58" w14:textId="77777777" w:rsidR="00F2779A" w:rsidRDefault="00F2779A" w:rsidP="00F2779A">
      <w:pPr>
        <w:spacing w:before="120" w:after="120"/>
        <w:rPr>
          <w:rFonts w:cs="Arial"/>
        </w:rPr>
      </w:pPr>
      <w:r>
        <w:rPr>
          <w:rFonts w:cs="Arial"/>
        </w:rPr>
        <w:t>Der TV-L wird wie folgt geändert:</w:t>
      </w:r>
    </w:p>
    <w:p w14:paraId="35CA8B93" w14:textId="77777777" w:rsidR="00F2779A" w:rsidRDefault="00F2779A" w:rsidP="00F2779A">
      <w:pPr>
        <w:spacing w:before="120" w:after="120"/>
        <w:rPr>
          <w:rFonts w:cs="Arial"/>
        </w:rPr>
      </w:pPr>
    </w:p>
    <w:p w14:paraId="3659609E" w14:textId="77777777" w:rsidR="00F2779A" w:rsidRDefault="00F2779A" w:rsidP="00F2779A">
      <w:pPr>
        <w:numPr>
          <w:ilvl w:val="0"/>
          <w:numId w:val="30"/>
        </w:numPr>
        <w:spacing w:before="120" w:after="120"/>
        <w:ind w:left="567" w:hanging="567"/>
        <w:rPr>
          <w:rFonts w:cs="Arial"/>
        </w:rPr>
      </w:pPr>
      <w:r>
        <w:rPr>
          <w:rFonts w:cs="Arial"/>
        </w:rPr>
        <w:t>Im Inhaltsverzeichnis wird nach der Angabe zu § 38 folgende Angabe eingefügt:</w:t>
      </w:r>
    </w:p>
    <w:p w14:paraId="1DDC5B8D" w14:textId="77777777" w:rsidR="00F2779A" w:rsidRDefault="00F2779A" w:rsidP="00F2779A">
      <w:pPr>
        <w:spacing w:before="120" w:after="120"/>
        <w:ind w:left="567"/>
        <w:rPr>
          <w:rFonts w:cs="Arial"/>
        </w:rPr>
      </w:pPr>
      <w:r>
        <w:rPr>
          <w:rFonts w:cs="Arial"/>
        </w:rPr>
        <w:t>„§ 38a</w:t>
      </w:r>
      <w:r>
        <w:rPr>
          <w:rFonts w:cs="Arial"/>
        </w:rPr>
        <w:tab/>
      </w:r>
      <w:r>
        <w:rPr>
          <w:rFonts w:cs="Arial"/>
        </w:rPr>
        <w:tab/>
        <w:t>Übergangs</w:t>
      </w:r>
      <w:r w:rsidRPr="006171F2">
        <w:rPr>
          <w:rFonts w:cs="Arial"/>
        </w:rPr>
        <w:t>vorschrift</w:t>
      </w:r>
      <w:r>
        <w:rPr>
          <w:rFonts w:cs="Arial"/>
        </w:rPr>
        <w:t xml:space="preserve"> </w:t>
      </w:r>
      <w:r w:rsidRPr="002B3153">
        <w:t>zu § 1 Abs</w:t>
      </w:r>
      <w:r>
        <w:t>atz</w:t>
      </w:r>
      <w:r w:rsidRPr="002B3153">
        <w:t xml:space="preserve"> 2 Buchs</w:t>
      </w:r>
      <w:r>
        <w:t>tabe</w:t>
      </w:r>
      <w:r w:rsidRPr="002B3153">
        <w:t xml:space="preserve"> j</w:t>
      </w:r>
      <w:r>
        <w:rPr>
          <w:rFonts w:cs="Arial"/>
        </w:rPr>
        <w:t>“</w:t>
      </w:r>
    </w:p>
    <w:p w14:paraId="29B0F502" w14:textId="77777777" w:rsidR="00F2779A" w:rsidRDefault="00F2779A" w:rsidP="00F2779A">
      <w:pPr>
        <w:spacing w:before="120" w:after="120"/>
        <w:ind w:left="567"/>
        <w:rPr>
          <w:rFonts w:cs="Arial"/>
        </w:rPr>
      </w:pPr>
    </w:p>
    <w:p w14:paraId="04B41DD4" w14:textId="77777777" w:rsidR="00F2779A" w:rsidRDefault="00F2779A" w:rsidP="00F2779A">
      <w:pPr>
        <w:numPr>
          <w:ilvl w:val="0"/>
          <w:numId w:val="30"/>
        </w:numPr>
        <w:spacing w:before="120" w:after="120"/>
        <w:ind w:left="567" w:hanging="567"/>
        <w:rPr>
          <w:rFonts w:cs="Arial"/>
        </w:rPr>
      </w:pPr>
      <w:r>
        <w:rPr>
          <w:rFonts w:cs="Arial"/>
        </w:rPr>
        <w:t>§ 1 Absatz 2 Buchstabe j erhält folgende Fassung:</w:t>
      </w:r>
    </w:p>
    <w:p w14:paraId="0CE9082A" w14:textId="77777777" w:rsidR="00F2779A" w:rsidRPr="00571E50" w:rsidRDefault="00F2779A" w:rsidP="00F2779A">
      <w:pPr>
        <w:autoSpaceDE w:val="0"/>
        <w:autoSpaceDN w:val="0"/>
        <w:adjustRightInd w:val="0"/>
        <w:spacing w:before="120" w:after="120"/>
        <w:ind w:left="1134" w:hanging="567"/>
      </w:pPr>
      <w:r w:rsidRPr="00571E50">
        <w:t>„</w:t>
      </w:r>
      <w:r>
        <w:t>j</w:t>
      </w:r>
      <w:r w:rsidRPr="00571E50">
        <w:t>)</w:t>
      </w:r>
      <w:r>
        <w:tab/>
      </w:r>
      <w:r w:rsidRPr="00571E50">
        <w:t>künstlerisches</w:t>
      </w:r>
      <w:r>
        <w:t xml:space="preserve"> Theaterpersonal, Orchestermusikerinnen/Orchestermusiker sowie technisches Leitungspersonal und technisches Theaterpersonal nach Maßgabe der nachfolgenden Protokollerklärungen,</w:t>
      </w:r>
    </w:p>
    <w:p w14:paraId="62EAE4EF" w14:textId="77777777" w:rsidR="00F2779A" w:rsidRPr="000B256C" w:rsidRDefault="00F2779A" w:rsidP="00F2779A">
      <w:pPr>
        <w:spacing w:before="120" w:after="120"/>
        <w:ind w:left="567"/>
      </w:pPr>
      <w:r w:rsidRPr="000B256C">
        <w:rPr>
          <w:u w:val="single"/>
        </w:rPr>
        <w:t>Protokollerklärungen zu Absatz 2 Buchst</w:t>
      </w:r>
      <w:r>
        <w:rPr>
          <w:u w:val="single"/>
        </w:rPr>
        <w:t>abe</w:t>
      </w:r>
      <w:r w:rsidRPr="000B256C">
        <w:rPr>
          <w:u w:val="single"/>
        </w:rPr>
        <w:t xml:space="preserve"> </w:t>
      </w:r>
      <w:r>
        <w:rPr>
          <w:u w:val="single"/>
        </w:rPr>
        <w:t>j</w:t>
      </w:r>
      <w:r w:rsidRPr="000B256C">
        <w:t>:</w:t>
      </w:r>
    </w:p>
    <w:p w14:paraId="685D8F12" w14:textId="77777777" w:rsidR="00F2779A" w:rsidRPr="000B256C" w:rsidRDefault="00F2779A" w:rsidP="00F2779A">
      <w:pPr>
        <w:autoSpaceDE w:val="0"/>
        <w:autoSpaceDN w:val="0"/>
        <w:adjustRightInd w:val="0"/>
        <w:spacing w:before="120" w:after="120"/>
        <w:ind w:left="1134" w:hanging="567"/>
      </w:pPr>
      <w:r w:rsidRPr="000B256C">
        <w:t>1.</w:t>
      </w:r>
      <w:r w:rsidRPr="000B256C">
        <w:tab/>
      </w:r>
      <w:r w:rsidRPr="0082353A">
        <w:rPr>
          <w:vertAlign w:val="superscript"/>
        </w:rPr>
        <w:t>1</w:t>
      </w:r>
      <w:r w:rsidRPr="000B256C">
        <w:t xml:space="preserve">Technisches Leitungspersonal umfasst technische Direktorinnen/Direktoren, Leiterinnen/Leiter der Ausstattungswerkstätten, des Beleuchtungswesens, </w:t>
      </w:r>
      <w:r>
        <w:t>der</w:t>
      </w:r>
      <w:r w:rsidRPr="006759C7">
        <w:t xml:space="preserve"> </w:t>
      </w:r>
      <w:proofErr w:type="spellStart"/>
      <w:r w:rsidRPr="000B256C">
        <w:t>Bühnenplastikerwerkstatt</w:t>
      </w:r>
      <w:proofErr w:type="spellEnd"/>
      <w:r w:rsidRPr="000B256C">
        <w:t xml:space="preserve">, des </w:t>
      </w:r>
      <w:r>
        <w:t xml:space="preserve">Kostümwesens/der Kostümabteilung, des </w:t>
      </w:r>
      <w:proofErr w:type="spellStart"/>
      <w:r>
        <w:t>Malsaals</w:t>
      </w:r>
      <w:proofErr w:type="spellEnd"/>
      <w:r>
        <w:t xml:space="preserve">, der Tontechnik sowie Chefmaskenbildnerinnen/Chefmaskenbildner. </w:t>
      </w:r>
      <w:r w:rsidRPr="006E1419">
        <w:rPr>
          <w:vertAlign w:val="superscript"/>
        </w:rPr>
        <w:t>2</w:t>
      </w:r>
      <w:r>
        <w:t xml:space="preserve">Für die benannten </w:t>
      </w:r>
      <w:proofErr w:type="gramStart"/>
      <w:r>
        <w:t>Funktionen</w:t>
      </w:r>
      <w:proofErr w:type="gramEnd"/>
      <w:r>
        <w:t xml:space="preserve"> kann in den Theatern je künstlerischer Sparte jeweils nur eine Beschäftigte/ein Beschäftigter bestellt werden.</w:t>
      </w:r>
    </w:p>
    <w:p w14:paraId="6846951B" w14:textId="77777777" w:rsidR="00F2779A" w:rsidRDefault="00F2779A" w:rsidP="00F2779A">
      <w:pPr>
        <w:spacing w:before="120" w:after="120"/>
        <w:ind w:left="1134" w:hanging="567"/>
      </w:pPr>
      <w:r>
        <w:t>2.</w:t>
      </w:r>
      <w:r>
        <w:tab/>
      </w:r>
      <w:r w:rsidRPr="006759C7">
        <w:t>Unter den TV</w:t>
      </w:r>
      <w:r>
        <w:t>-L</w:t>
      </w:r>
      <w:r w:rsidRPr="006759C7">
        <w:t xml:space="preserve"> fallen Bühnenarbeiterinnen/Bühnenarbeiter sowie Kosmetikerinnen/Kosmetiker, Rüstmeisterinnen/Rüstmeister, Schlosserinnen/Schlosser, Schneiderinnen/Schneider, Schuhmacherinnen/Schumacher, Tapeziererinnen/Tapezierer, Tischlerinnen/Tischler einschließlich jeweils der Meisterinnen/Meister in diesen Berufen, Orchesterwartinnen/Orchesterwarte, technische Zeichnerinnen/Zeichner und Waffenmeisterinnen/Waffenmeister.</w:t>
      </w:r>
    </w:p>
    <w:p w14:paraId="76D31867" w14:textId="77777777" w:rsidR="00F2779A" w:rsidRDefault="00F2779A" w:rsidP="00F2779A">
      <w:pPr>
        <w:autoSpaceDE w:val="0"/>
        <w:autoSpaceDN w:val="0"/>
        <w:adjustRightInd w:val="0"/>
        <w:spacing w:before="120" w:after="120"/>
        <w:ind w:left="1134" w:hanging="567"/>
      </w:pPr>
      <w:r>
        <w:t>3.</w:t>
      </w:r>
      <w:r>
        <w:tab/>
        <w:t>In der Regel unter den TV-L fallen Beleuchterinnen/Beleuchter, Beleuchtungsmeisterinnen/Beleuchtungsmeister, Bühnenmeisterinnen/Bühnenmeister, Garderobieren/Garderobiers bzw. Ankleiderinnen/</w:t>
      </w:r>
      <w:proofErr w:type="spellStart"/>
      <w:r>
        <w:t>Ankleider</w:t>
      </w:r>
      <w:proofErr w:type="spellEnd"/>
      <w:r>
        <w:t xml:space="preserve">, Gewandmeisterinnen/Gewandmeister, Requisitenmeisterinnen/Requisitenmeister, </w:t>
      </w:r>
      <w:proofErr w:type="spellStart"/>
      <w:r>
        <w:t>Requisiteurinnen</w:t>
      </w:r>
      <w:proofErr w:type="spellEnd"/>
      <w:r>
        <w:t>/Requisiteure, Seitenmeisterinnen/Seitenmeister, Tonmeisterinnen/Tonmeister, Tontechnikerinnen/Tontechniker und Veranstaltungstechnikerinnen/Veranstaltungstechniker.</w:t>
      </w:r>
    </w:p>
    <w:p w14:paraId="1B5C2154" w14:textId="77777777" w:rsidR="00F2779A" w:rsidRDefault="00F2779A" w:rsidP="00F2779A">
      <w:pPr>
        <w:spacing w:before="120" w:after="120"/>
        <w:ind w:left="1134" w:hanging="567"/>
      </w:pPr>
      <w:r>
        <w:t>4.</w:t>
      </w:r>
      <w:r>
        <w:tab/>
      </w:r>
      <w:r w:rsidRPr="0082353A">
        <w:t xml:space="preserve">In der Regel nicht </w:t>
      </w:r>
      <w:r>
        <w:t xml:space="preserve">unter </w:t>
      </w:r>
      <w:r w:rsidRPr="0082353A">
        <w:t>den TV</w:t>
      </w:r>
      <w:r>
        <w:t>-L</w:t>
      </w:r>
      <w:r w:rsidRPr="0082353A">
        <w:t xml:space="preserve"> fallen Inspektorinnen/Inspektoren,</w:t>
      </w:r>
      <w:r>
        <w:t xml:space="preserve"> </w:t>
      </w:r>
      <w:r w:rsidRPr="0082353A">
        <w:t>Kostümmalerinnen/Kostümmaler, Maskenbildnerinnen/Maskenbildner, Oberinspektorinnen/Oberinspektoren,</w:t>
      </w:r>
      <w:r>
        <w:t xml:space="preserve"> Theatermalerinnen/Theater</w:t>
      </w:r>
      <w:r w:rsidRPr="0082353A">
        <w:t>maler und Theaterplastikerinnen</w:t>
      </w:r>
      <w:r>
        <w:t>/T</w:t>
      </w:r>
      <w:r w:rsidRPr="0082353A">
        <w:t>heaterplastiker.</w:t>
      </w:r>
      <w:r>
        <w:t>“</w:t>
      </w:r>
    </w:p>
    <w:p w14:paraId="38775B5F" w14:textId="77777777" w:rsidR="00F2779A" w:rsidRDefault="00F2779A" w:rsidP="00F2779A">
      <w:pPr>
        <w:spacing w:before="120" w:after="120"/>
        <w:ind w:left="1134" w:hanging="567"/>
      </w:pPr>
    </w:p>
    <w:p w14:paraId="55F92CC5" w14:textId="77777777" w:rsidR="00F2779A" w:rsidRDefault="00F2779A" w:rsidP="00F2779A">
      <w:pPr>
        <w:spacing w:before="120" w:after="120"/>
        <w:ind w:left="1134" w:hanging="567"/>
      </w:pPr>
    </w:p>
    <w:p w14:paraId="6E8DF002" w14:textId="77777777" w:rsidR="00F2779A" w:rsidRDefault="00F2779A" w:rsidP="00F2779A">
      <w:pPr>
        <w:spacing w:before="120" w:after="120"/>
        <w:ind w:left="1134" w:hanging="567"/>
      </w:pPr>
    </w:p>
    <w:p w14:paraId="53375290" w14:textId="77777777" w:rsidR="00F2779A" w:rsidRDefault="00F2779A" w:rsidP="00F2779A">
      <w:pPr>
        <w:spacing w:before="120" w:after="120"/>
        <w:ind w:left="1134" w:hanging="567"/>
      </w:pPr>
    </w:p>
    <w:p w14:paraId="0C6745B8" w14:textId="77777777" w:rsidR="00F2779A" w:rsidRDefault="00F2779A" w:rsidP="00F2779A">
      <w:pPr>
        <w:numPr>
          <w:ilvl w:val="0"/>
          <w:numId w:val="30"/>
        </w:numPr>
        <w:spacing w:before="120" w:after="120"/>
        <w:ind w:left="567" w:hanging="567"/>
        <w:rPr>
          <w:rFonts w:cs="Arial"/>
        </w:rPr>
      </w:pPr>
      <w:r>
        <w:rPr>
          <w:rFonts w:cs="Arial"/>
        </w:rPr>
        <w:lastRenderedPageBreak/>
        <w:t>Es wird folgender § 38a eingefügt:</w:t>
      </w:r>
    </w:p>
    <w:p w14:paraId="70EA4A6E" w14:textId="77777777" w:rsidR="00F2779A" w:rsidRPr="00471C86" w:rsidRDefault="00F2779A" w:rsidP="00F2779A">
      <w:pPr>
        <w:autoSpaceDE w:val="0"/>
        <w:autoSpaceDN w:val="0"/>
        <w:adjustRightInd w:val="0"/>
        <w:spacing w:before="120" w:after="120"/>
        <w:ind w:left="1134"/>
        <w:jc w:val="center"/>
        <w:rPr>
          <w:b/>
        </w:rPr>
      </w:pPr>
      <w:r w:rsidRPr="00471C86">
        <w:t>„</w:t>
      </w:r>
      <w:r w:rsidRPr="00471C86">
        <w:rPr>
          <w:b/>
        </w:rPr>
        <w:t>§ 38a</w:t>
      </w:r>
    </w:p>
    <w:p w14:paraId="67364CB4" w14:textId="77777777" w:rsidR="00F2779A" w:rsidRPr="00471C86" w:rsidRDefault="00F2779A" w:rsidP="00F2779A">
      <w:pPr>
        <w:autoSpaceDE w:val="0"/>
        <w:autoSpaceDN w:val="0"/>
        <w:adjustRightInd w:val="0"/>
        <w:spacing w:before="120" w:after="120"/>
        <w:ind w:left="1134"/>
        <w:jc w:val="center"/>
        <w:rPr>
          <w:b/>
        </w:rPr>
      </w:pPr>
      <w:r w:rsidRPr="00471C86">
        <w:rPr>
          <w:b/>
        </w:rPr>
        <w:t>Übergangsvorschrift</w:t>
      </w:r>
      <w:r>
        <w:rPr>
          <w:b/>
        </w:rPr>
        <w:t xml:space="preserve"> zu </w:t>
      </w:r>
      <w:r w:rsidRPr="00E038F0">
        <w:rPr>
          <w:b/>
        </w:rPr>
        <w:t>§ 1 Abs</w:t>
      </w:r>
      <w:r>
        <w:rPr>
          <w:b/>
        </w:rPr>
        <w:t>atz</w:t>
      </w:r>
      <w:r w:rsidRPr="00E038F0">
        <w:rPr>
          <w:b/>
        </w:rPr>
        <w:t xml:space="preserve"> 2 Buchs</w:t>
      </w:r>
      <w:r>
        <w:rPr>
          <w:b/>
        </w:rPr>
        <w:t>tabe</w:t>
      </w:r>
      <w:r w:rsidRPr="00E038F0">
        <w:rPr>
          <w:b/>
        </w:rPr>
        <w:t xml:space="preserve"> j</w:t>
      </w:r>
    </w:p>
    <w:p w14:paraId="29298137" w14:textId="77777777" w:rsidR="00F2779A" w:rsidRDefault="00F2779A" w:rsidP="00F2779A">
      <w:pPr>
        <w:autoSpaceDE w:val="0"/>
        <w:autoSpaceDN w:val="0"/>
        <w:adjustRightInd w:val="0"/>
        <w:spacing w:before="120" w:after="120"/>
        <w:ind w:left="1134"/>
      </w:pPr>
      <w:r w:rsidRPr="00F27678">
        <w:rPr>
          <w:vertAlign w:val="superscript"/>
        </w:rPr>
        <w:t>1</w:t>
      </w:r>
      <w:r w:rsidRPr="00F27678">
        <w:t>Auf technisches</w:t>
      </w:r>
      <w:r>
        <w:t xml:space="preserve"> Theaterpersonal</w:t>
      </w:r>
      <w:r w:rsidRPr="00F27678">
        <w:t xml:space="preserve"> mit überwiegend künstlerischer Tätigkeit, mit dem am 31.</w:t>
      </w:r>
      <w:r>
        <w:t> Mai</w:t>
      </w:r>
      <w:r w:rsidRPr="00F27678">
        <w:t xml:space="preserve"> 201</w:t>
      </w:r>
      <w:r>
        <w:t>5</w:t>
      </w:r>
      <w:r w:rsidRPr="00F27678">
        <w:t xml:space="preserve"> arbeitsvertraglich eine überwiegend künstlerische Tätigkeit vereinbart ist, findet § 1 Abs</w:t>
      </w:r>
      <w:r>
        <w:t>atz</w:t>
      </w:r>
      <w:r w:rsidRPr="00F27678">
        <w:t xml:space="preserve"> 2 Buchst</w:t>
      </w:r>
      <w:r>
        <w:t>abe</w:t>
      </w:r>
      <w:r w:rsidRPr="00F27678">
        <w:t xml:space="preserve"> </w:t>
      </w:r>
      <w:r>
        <w:t>j</w:t>
      </w:r>
      <w:r w:rsidRPr="00F27678">
        <w:t xml:space="preserve"> in der bis zum 31. Mai 201</w:t>
      </w:r>
      <w:r>
        <w:t>5</w:t>
      </w:r>
      <w:r w:rsidRPr="00F27678">
        <w:t xml:space="preserve"> geltenden Fassung für die Dauer des ununterbrochen fortbestehenden Arbeitsverhältnisses weiter Anwendung. </w:t>
      </w:r>
      <w:r w:rsidRPr="00471C86">
        <w:rPr>
          <w:vertAlign w:val="superscript"/>
        </w:rPr>
        <w:t>2</w:t>
      </w:r>
      <w:r w:rsidRPr="00F27678">
        <w:t>Auf technisches Theaterpersonal, mit dem am 31. Mai 201</w:t>
      </w:r>
      <w:r>
        <w:t>5</w:t>
      </w:r>
      <w:r w:rsidRPr="00F27678">
        <w:t xml:space="preserve"> arbeitsvertraglich die Anwendung des TV</w:t>
      </w:r>
      <w:r>
        <w:t>-L</w:t>
      </w:r>
      <w:r w:rsidRPr="00F27678">
        <w:t xml:space="preserve"> vereinbart ist, findet der TV</w:t>
      </w:r>
      <w:r>
        <w:t xml:space="preserve">-L </w:t>
      </w:r>
      <w:r w:rsidRPr="00F27678">
        <w:t>unabhängig von § 1 Abs</w:t>
      </w:r>
      <w:r>
        <w:t>atz</w:t>
      </w:r>
      <w:r w:rsidRPr="00F27678">
        <w:t xml:space="preserve"> 2 Buchst</w:t>
      </w:r>
      <w:r>
        <w:t>abe</w:t>
      </w:r>
      <w:r w:rsidRPr="00F27678">
        <w:t xml:space="preserve"> </w:t>
      </w:r>
      <w:r>
        <w:t>j</w:t>
      </w:r>
      <w:r w:rsidRPr="00F27678">
        <w:t xml:space="preserve"> in der ab dem 1. Juni 201</w:t>
      </w:r>
      <w:r>
        <w:t>5</w:t>
      </w:r>
      <w:r w:rsidRPr="00F27678">
        <w:t xml:space="preserve"> geltenden Fassung für die Dauer des ununterbrochen fortbestehenden Arbeitsverhältnisses weiter Anwendung. </w:t>
      </w:r>
      <w:r w:rsidRPr="00471C86">
        <w:rPr>
          <w:vertAlign w:val="superscript"/>
        </w:rPr>
        <w:t>3</w:t>
      </w:r>
      <w:r w:rsidRPr="00F27678">
        <w:t>Als ununterbrochen fortbestehend gilt das Arbeitsverhältnis auch, wenn im beiderseitigen Einvernehmen an ein befristetes Arbeitsverhältnis ohne Unterbrechung ein neues Arbeitsverhältnis zu demselben Arbeitgeber abgeschlossen wird.“</w:t>
      </w:r>
    </w:p>
    <w:p w14:paraId="384EDD11" w14:textId="77777777" w:rsidR="00F2779A" w:rsidRPr="00F27678" w:rsidRDefault="00F2779A" w:rsidP="00F2779A">
      <w:pPr>
        <w:autoSpaceDE w:val="0"/>
        <w:autoSpaceDN w:val="0"/>
        <w:adjustRightInd w:val="0"/>
        <w:spacing w:before="120" w:after="120"/>
        <w:ind w:left="567"/>
      </w:pPr>
    </w:p>
    <w:p w14:paraId="4483B6F5" w14:textId="77777777" w:rsidR="00F2779A" w:rsidRDefault="00F2779A" w:rsidP="00F2779A">
      <w:pPr>
        <w:numPr>
          <w:ilvl w:val="0"/>
          <w:numId w:val="30"/>
        </w:numPr>
        <w:spacing w:before="120" w:after="120"/>
        <w:ind w:left="567" w:hanging="567"/>
        <w:rPr>
          <w:rFonts w:cs="Arial"/>
        </w:rPr>
      </w:pPr>
      <w:r>
        <w:rPr>
          <w:rFonts w:cs="Arial"/>
        </w:rPr>
        <w:t>§ 45 Nummer 1 wird wie folgt geändert:</w:t>
      </w:r>
    </w:p>
    <w:p w14:paraId="0C0EB06B" w14:textId="77777777" w:rsidR="00F2779A" w:rsidRDefault="00F2779A" w:rsidP="00F2779A">
      <w:pPr>
        <w:numPr>
          <w:ilvl w:val="0"/>
          <w:numId w:val="32"/>
        </w:numPr>
        <w:spacing w:before="120" w:after="120"/>
        <w:ind w:left="1134" w:hanging="566"/>
        <w:rPr>
          <w:rFonts w:cs="Arial"/>
        </w:rPr>
      </w:pPr>
      <w:r>
        <w:rPr>
          <w:rFonts w:cs="Arial"/>
        </w:rPr>
        <w:t>Absatz 1 erhält folgende Fassung:</w:t>
      </w:r>
    </w:p>
    <w:p w14:paraId="2A92C36D" w14:textId="77777777" w:rsidR="00F2779A" w:rsidRDefault="00F2779A" w:rsidP="00F2779A">
      <w:pPr>
        <w:spacing w:before="120" w:after="120"/>
        <w:ind w:left="1134"/>
        <w:rPr>
          <w:rFonts w:cs="Arial"/>
        </w:rPr>
      </w:pPr>
      <w:r>
        <w:rPr>
          <w:rFonts w:cs="Arial"/>
        </w:rPr>
        <w:t>„(1) Diese Sonderregelungen gelten für die Beschäftigten in Theatern und Bühnen.“</w:t>
      </w:r>
    </w:p>
    <w:p w14:paraId="5B5FFC2C" w14:textId="77777777" w:rsidR="00F2779A" w:rsidRDefault="00F2779A" w:rsidP="00F2779A">
      <w:pPr>
        <w:numPr>
          <w:ilvl w:val="0"/>
          <w:numId w:val="32"/>
        </w:numPr>
        <w:spacing w:before="120" w:after="120"/>
        <w:ind w:left="1134" w:hanging="566"/>
        <w:rPr>
          <w:rFonts w:cs="Arial"/>
        </w:rPr>
      </w:pPr>
      <w:r>
        <w:rPr>
          <w:rFonts w:cs="Arial"/>
        </w:rPr>
        <w:t>Absatz 2 erhält folgende Fassung:</w:t>
      </w:r>
    </w:p>
    <w:p w14:paraId="0C59FA15" w14:textId="77777777" w:rsidR="00F2779A" w:rsidRDefault="00F2779A" w:rsidP="00F2779A">
      <w:pPr>
        <w:spacing w:before="120" w:after="120"/>
        <w:ind w:left="1134"/>
        <w:rPr>
          <w:rFonts w:cs="Arial"/>
        </w:rPr>
      </w:pPr>
      <w:r>
        <w:rPr>
          <w:rFonts w:cs="Arial"/>
        </w:rPr>
        <w:t>„(2) – gestrichen –“</w:t>
      </w:r>
    </w:p>
    <w:p w14:paraId="72DB9FCA" w14:textId="77777777" w:rsidR="00F2779A" w:rsidRPr="003B538B" w:rsidRDefault="00F2779A" w:rsidP="00F2779A">
      <w:pPr>
        <w:numPr>
          <w:ilvl w:val="0"/>
          <w:numId w:val="32"/>
        </w:numPr>
        <w:spacing w:before="120" w:after="120"/>
        <w:ind w:left="1134" w:hanging="566"/>
        <w:rPr>
          <w:rFonts w:cs="Arial"/>
        </w:rPr>
      </w:pPr>
      <w:r>
        <w:rPr>
          <w:rFonts w:cs="Arial"/>
        </w:rPr>
        <w:t>I</w:t>
      </w:r>
      <w:r w:rsidRPr="00197F1C">
        <w:rPr>
          <w:rFonts w:cs="Arial"/>
        </w:rPr>
        <w:t xml:space="preserve">n </w:t>
      </w:r>
      <w:r w:rsidRPr="003B538B">
        <w:rPr>
          <w:rFonts w:cs="Arial"/>
        </w:rPr>
        <w:t>Abs</w:t>
      </w:r>
      <w:r>
        <w:rPr>
          <w:rFonts w:cs="Arial"/>
        </w:rPr>
        <w:t>atz</w:t>
      </w:r>
      <w:r w:rsidRPr="003B538B">
        <w:rPr>
          <w:rFonts w:cs="Arial"/>
        </w:rPr>
        <w:t xml:space="preserve"> 3</w:t>
      </w:r>
      <w:r>
        <w:rPr>
          <w:rFonts w:cs="Arial"/>
        </w:rPr>
        <w:t xml:space="preserve"> </w:t>
      </w:r>
      <w:r w:rsidRPr="00197F1C">
        <w:rPr>
          <w:rFonts w:cs="Arial"/>
        </w:rPr>
        <w:t xml:space="preserve">werden vor den Worten </w:t>
      </w:r>
      <w:r>
        <w:rPr>
          <w:rFonts w:cs="Arial"/>
        </w:rPr>
        <w:t>„</w:t>
      </w:r>
      <w:r w:rsidRPr="00197F1C">
        <w:rPr>
          <w:rFonts w:cs="Arial"/>
        </w:rPr>
        <w:t>gesondert vereinbart</w:t>
      </w:r>
      <w:r>
        <w:rPr>
          <w:rFonts w:cs="Arial"/>
        </w:rPr>
        <w:t>“</w:t>
      </w:r>
      <w:r w:rsidRPr="00197F1C">
        <w:rPr>
          <w:rFonts w:cs="Arial"/>
        </w:rPr>
        <w:t xml:space="preserve"> die Worte </w:t>
      </w:r>
      <w:r>
        <w:rPr>
          <w:rFonts w:cs="Arial"/>
        </w:rPr>
        <w:t>„</w:t>
      </w:r>
      <w:r w:rsidRPr="00197F1C">
        <w:rPr>
          <w:rFonts w:cs="Arial"/>
        </w:rPr>
        <w:t>abweichend von Protokollerklärung N</w:t>
      </w:r>
      <w:r>
        <w:rPr>
          <w:rFonts w:cs="Arial"/>
        </w:rPr>
        <w:t>ummer</w:t>
      </w:r>
      <w:r w:rsidRPr="00197F1C">
        <w:rPr>
          <w:rFonts w:cs="Arial"/>
        </w:rPr>
        <w:t xml:space="preserve"> 3 zu § 1 Abs</w:t>
      </w:r>
      <w:r>
        <w:rPr>
          <w:rFonts w:cs="Arial"/>
        </w:rPr>
        <w:t>atz</w:t>
      </w:r>
      <w:r w:rsidRPr="00197F1C">
        <w:rPr>
          <w:rFonts w:cs="Arial"/>
        </w:rPr>
        <w:t xml:space="preserve"> 2 Buchst</w:t>
      </w:r>
      <w:r>
        <w:rPr>
          <w:rFonts w:cs="Arial"/>
        </w:rPr>
        <w:t>abe</w:t>
      </w:r>
      <w:r w:rsidRPr="00197F1C">
        <w:rPr>
          <w:rFonts w:cs="Arial"/>
        </w:rPr>
        <w:t xml:space="preserve"> j</w:t>
      </w:r>
      <w:r>
        <w:rPr>
          <w:rFonts w:cs="Arial"/>
        </w:rPr>
        <w:t>“</w:t>
      </w:r>
      <w:r w:rsidRPr="00197F1C">
        <w:rPr>
          <w:rFonts w:cs="Arial"/>
        </w:rPr>
        <w:t xml:space="preserve"> eingefügt.</w:t>
      </w:r>
    </w:p>
    <w:p w14:paraId="68F1B64B" w14:textId="77777777" w:rsidR="00A6417D" w:rsidRPr="000E43B3" w:rsidRDefault="00A6417D" w:rsidP="007A60BE">
      <w:pPr>
        <w:spacing w:before="120" w:after="120"/>
        <w:rPr>
          <w:rFonts w:cs="Arial"/>
        </w:rPr>
      </w:pPr>
    </w:p>
    <w:sectPr w:rsidR="00A6417D" w:rsidRPr="000E43B3" w:rsidSect="00C81178">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7F8C" w14:textId="77777777" w:rsidR="00B25EEE" w:rsidRDefault="00B25EEE">
      <w:r>
        <w:separator/>
      </w:r>
    </w:p>
  </w:endnote>
  <w:endnote w:type="continuationSeparator" w:id="0">
    <w:p w14:paraId="43CBCD98" w14:textId="77777777" w:rsidR="00B25EEE" w:rsidRDefault="00B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A9D93" w14:textId="77777777" w:rsidR="00B25EEE" w:rsidRDefault="00B25EEE">
      <w:r>
        <w:separator/>
      </w:r>
    </w:p>
  </w:footnote>
  <w:footnote w:type="continuationSeparator" w:id="0">
    <w:p w14:paraId="5E85468B" w14:textId="77777777" w:rsidR="00B25EEE" w:rsidRDefault="00B2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A786" w14:textId="77777777" w:rsidR="00E438CC" w:rsidRDefault="00E438CC" w:rsidP="008657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C0E2F">
      <w:rPr>
        <w:rStyle w:val="Seitenzahl"/>
        <w:noProof/>
      </w:rPr>
      <w:t>8</w:t>
    </w:r>
    <w:r>
      <w:rPr>
        <w:rStyle w:val="Seitenzahl"/>
      </w:rPr>
      <w:fldChar w:fldCharType="end"/>
    </w:r>
  </w:p>
  <w:p w14:paraId="44BF75B4" w14:textId="77777777" w:rsidR="00E438CC" w:rsidRDefault="00E438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8F91" w14:textId="77777777" w:rsidR="00E438CC" w:rsidRDefault="00E438CC" w:rsidP="008657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12A08">
      <w:rPr>
        <w:rStyle w:val="Seitenzahl"/>
        <w:noProof/>
      </w:rPr>
      <w:t>5</w:t>
    </w:r>
    <w:r>
      <w:rPr>
        <w:rStyle w:val="Seitenzahl"/>
      </w:rPr>
      <w:fldChar w:fldCharType="end"/>
    </w:r>
  </w:p>
  <w:p w14:paraId="79FC6246" w14:textId="77777777" w:rsidR="00E438CC" w:rsidRDefault="00E438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3BEC" w14:textId="0AB9F353" w:rsidR="00E438CC" w:rsidRPr="00012A08" w:rsidRDefault="00012A08" w:rsidP="00012A08">
    <w:pPr>
      <w:pStyle w:val="Kopfzeile"/>
    </w:pPr>
    <w:r w:rsidRPr="00012A08">
      <w:rPr>
        <w:sz w:val="20"/>
      </w:rPr>
      <w:t>Stand: 28. März 2015</w:t>
    </w:r>
    <w:r w:rsidRPr="00012A08">
      <w:rPr>
        <w:sz w:val="20"/>
      </w:rPr>
      <w:br/>
      <w:t>23:50 Uhr</w:t>
    </w:r>
    <w:r w:rsidRPr="00012A08">
      <w:rPr>
        <w:sz w:val="20"/>
      </w:rPr>
      <w:ptab w:relativeTo="margin" w:alignment="center" w:leader="none"/>
    </w:r>
    <w:r w:rsidRPr="00012A08">
      <w:rPr>
        <w:b/>
        <w:sz w:val="28"/>
      </w:rPr>
      <w:ptab w:relativeTo="margin" w:alignment="right" w:leader="none"/>
    </w:r>
    <w:r w:rsidRPr="00012A08">
      <w:rPr>
        <w:b/>
        <w:sz w:val="28"/>
        <w:u w:val="single"/>
      </w:rPr>
      <w:t>Anlage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160"/>
    <w:multiLevelType w:val="hybridMultilevel"/>
    <w:tmpl w:val="ECB459F2"/>
    <w:lvl w:ilvl="0" w:tplc="A22ACD00">
      <w:start w:val="1"/>
      <w:numFmt w:val="bullet"/>
      <w:lvlText w:val="-"/>
      <w:lvlJc w:val="left"/>
      <w:pPr>
        <w:ind w:left="1287" w:hanging="360"/>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02424F76"/>
    <w:multiLevelType w:val="hybridMultilevel"/>
    <w:tmpl w:val="0C709EBA"/>
    <w:lvl w:ilvl="0" w:tplc="2AB47ED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029C4527"/>
    <w:multiLevelType w:val="hybridMultilevel"/>
    <w:tmpl w:val="ADBE0258"/>
    <w:lvl w:ilvl="0" w:tplc="CCA20156">
      <w:numFmt w:val="bullet"/>
      <w:lvlText w:val="-"/>
      <w:lvlJc w:val="left"/>
      <w:pPr>
        <w:ind w:left="1572" w:hanging="360"/>
      </w:pPr>
      <w:rPr>
        <w:rFonts w:ascii="Arial" w:eastAsiaTheme="minorHAnsi" w:hAnsi="Arial" w:cs="Aria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
    <w:nsid w:val="037A0816"/>
    <w:multiLevelType w:val="hybridMultilevel"/>
    <w:tmpl w:val="65563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77D9F0"/>
    <w:multiLevelType w:val="singleLevel"/>
    <w:tmpl w:val="011C03D2"/>
    <w:lvl w:ilvl="0">
      <w:start w:val="1"/>
      <w:numFmt w:val="decimal"/>
      <w:lvlText w:val="(%1)"/>
      <w:lvlJc w:val="left"/>
      <w:pPr>
        <w:tabs>
          <w:tab w:val="num" w:pos="1152"/>
        </w:tabs>
        <w:ind w:left="1152" w:hanging="576"/>
      </w:pPr>
      <w:rPr>
        <w:rFonts w:ascii="Arial" w:hAnsi="Arial" w:cs="Arial"/>
        <w:sz w:val="22"/>
        <w:szCs w:val="22"/>
        <w:vertAlign w:val="superscript"/>
      </w:rPr>
    </w:lvl>
  </w:abstractNum>
  <w:abstractNum w:abstractNumId="5">
    <w:nsid w:val="09BA6461"/>
    <w:multiLevelType w:val="hybridMultilevel"/>
    <w:tmpl w:val="3572DD38"/>
    <w:lvl w:ilvl="0" w:tplc="740C8F54">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0D675AB0"/>
    <w:multiLevelType w:val="hybridMultilevel"/>
    <w:tmpl w:val="ACFA5D0C"/>
    <w:lvl w:ilvl="0" w:tplc="40FEC9B2">
      <w:start w:val="1"/>
      <w:numFmt w:val="lowerLetter"/>
      <w:lvlText w:val="%1)"/>
      <w:lvlJc w:val="left"/>
      <w:pPr>
        <w:tabs>
          <w:tab w:val="num" w:pos="1721"/>
        </w:tabs>
        <w:ind w:left="1721" w:hanging="870"/>
      </w:pPr>
      <w:rPr>
        <w:rFonts w:hint="default"/>
      </w:r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7">
    <w:nsid w:val="158A1382"/>
    <w:multiLevelType w:val="hybridMultilevel"/>
    <w:tmpl w:val="1214D4C8"/>
    <w:lvl w:ilvl="0" w:tplc="D038A1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5C316DB"/>
    <w:multiLevelType w:val="hybridMultilevel"/>
    <w:tmpl w:val="012EB894"/>
    <w:lvl w:ilvl="0" w:tplc="64A46534">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192B333C"/>
    <w:multiLevelType w:val="hybridMultilevel"/>
    <w:tmpl w:val="ACFA5D0C"/>
    <w:lvl w:ilvl="0" w:tplc="40FEC9B2">
      <w:start w:val="1"/>
      <w:numFmt w:val="lowerLetter"/>
      <w:lvlText w:val="%1)"/>
      <w:lvlJc w:val="left"/>
      <w:pPr>
        <w:tabs>
          <w:tab w:val="num" w:pos="1410"/>
        </w:tabs>
        <w:ind w:left="1410" w:hanging="8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8D1CAD"/>
    <w:multiLevelType w:val="hybridMultilevel"/>
    <w:tmpl w:val="D2361050"/>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nsid w:val="25B30F18"/>
    <w:multiLevelType w:val="hybridMultilevel"/>
    <w:tmpl w:val="97120A70"/>
    <w:lvl w:ilvl="0" w:tplc="6966DDE8">
      <w:start w:val="1"/>
      <w:numFmt w:val="lowerLetter"/>
      <w:lvlText w:val="%1)"/>
      <w:lvlJc w:val="left"/>
      <w:pPr>
        <w:tabs>
          <w:tab w:val="num" w:pos="899"/>
        </w:tabs>
        <w:ind w:left="899" w:hanging="360"/>
      </w:pPr>
      <w:rPr>
        <w:rFonts w:hint="default"/>
      </w:rPr>
    </w:lvl>
    <w:lvl w:ilvl="1" w:tplc="04070019">
      <w:start w:val="1"/>
      <w:numFmt w:val="lowerLetter"/>
      <w:lvlText w:val="%2."/>
      <w:lvlJc w:val="left"/>
      <w:pPr>
        <w:tabs>
          <w:tab w:val="num" w:pos="1619"/>
        </w:tabs>
        <w:ind w:left="1619" w:hanging="360"/>
      </w:pPr>
    </w:lvl>
    <w:lvl w:ilvl="2" w:tplc="0407001B" w:tentative="1">
      <w:start w:val="1"/>
      <w:numFmt w:val="lowerRoman"/>
      <w:lvlText w:val="%3."/>
      <w:lvlJc w:val="right"/>
      <w:pPr>
        <w:tabs>
          <w:tab w:val="num" w:pos="2339"/>
        </w:tabs>
        <w:ind w:left="2339" w:hanging="180"/>
      </w:pPr>
    </w:lvl>
    <w:lvl w:ilvl="3" w:tplc="0407000F" w:tentative="1">
      <w:start w:val="1"/>
      <w:numFmt w:val="decimal"/>
      <w:lvlText w:val="%4."/>
      <w:lvlJc w:val="left"/>
      <w:pPr>
        <w:tabs>
          <w:tab w:val="num" w:pos="3059"/>
        </w:tabs>
        <w:ind w:left="3059" w:hanging="360"/>
      </w:pPr>
    </w:lvl>
    <w:lvl w:ilvl="4" w:tplc="04070019" w:tentative="1">
      <w:start w:val="1"/>
      <w:numFmt w:val="lowerLetter"/>
      <w:lvlText w:val="%5."/>
      <w:lvlJc w:val="left"/>
      <w:pPr>
        <w:tabs>
          <w:tab w:val="num" w:pos="3779"/>
        </w:tabs>
        <w:ind w:left="3779" w:hanging="360"/>
      </w:pPr>
    </w:lvl>
    <w:lvl w:ilvl="5" w:tplc="0407001B" w:tentative="1">
      <w:start w:val="1"/>
      <w:numFmt w:val="lowerRoman"/>
      <w:lvlText w:val="%6."/>
      <w:lvlJc w:val="right"/>
      <w:pPr>
        <w:tabs>
          <w:tab w:val="num" w:pos="4499"/>
        </w:tabs>
        <w:ind w:left="4499" w:hanging="180"/>
      </w:pPr>
    </w:lvl>
    <w:lvl w:ilvl="6" w:tplc="0407000F" w:tentative="1">
      <w:start w:val="1"/>
      <w:numFmt w:val="decimal"/>
      <w:lvlText w:val="%7."/>
      <w:lvlJc w:val="left"/>
      <w:pPr>
        <w:tabs>
          <w:tab w:val="num" w:pos="5219"/>
        </w:tabs>
        <w:ind w:left="5219" w:hanging="360"/>
      </w:pPr>
    </w:lvl>
    <w:lvl w:ilvl="7" w:tplc="04070019" w:tentative="1">
      <w:start w:val="1"/>
      <w:numFmt w:val="lowerLetter"/>
      <w:lvlText w:val="%8."/>
      <w:lvlJc w:val="left"/>
      <w:pPr>
        <w:tabs>
          <w:tab w:val="num" w:pos="5939"/>
        </w:tabs>
        <w:ind w:left="5939" w:hanging="360"/>
      </w:pPr>
    </w:lvl>
    <w:lvl w:ilvl="8" w:tplc="0407001B" w:tentative="1">
      <w:start w:val="1"/>
      <w:numFmt w:val="lowerRoman"/>
      <w:lvlText w:val="%9."/>
      <w:lvlJc w:val="right"/>
      <w:pPr>
        <w:tabs>
          <w:tab w:val="num" w:pos="6659"/>
        </w:tabs>
        <w:ind w:left="6659" w:hanging="180"/>
      </w:pPr>
    </w:lvl>
  </w:abstractNum>
  <w:abstractNum w:abstractNumId="12">
    <w:nsid w:val="27A22821"/>
    <w:multiLevelType w:val="hybridMultilevel"/>
    <w:tmpl w:val="80B87464"/>
    <w:lvl w:ilvl="0" w:tplc="FA9A8332">
      <w:start w:val="5"/>
      <w:numFmt w:val="bullet"/>
      <w:lvlText w:val="-"/>
      <w:lvlJc w:val="left"/>
      <w:pPr>
        <w:ind w:left="1288" w:hanging="360"/>
      </w:pPr>
      <w:rPr>
        <w:rFonts w:ascii="Arial" w:eastAsia="Times New Roman" w:hAnsi="Arial" w:cs="Aria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3">
    <w:nsid w:val="2D426C27"/>
    <w:multiLevelType w:val="hybridMultilevel"/>
    <w:tmpl w:val="67BAE3CA"/>
    <w:lvl w:ilvl="0" w:tplc="9590183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975A4D"/>
    <w:multiLevelType w:val="hybridMultilevel"/>
    <w:tmpl w:val="10CCA16A"/>
    <w:lvl w:ilvl="0" w:tplc="146011A2">
      <w:start w:val="1"/>
      <w:numFmt w:val="bullet"/>
      <w:lvlText w:val=""/>
      <w:lvlJc w:val="left"/>
      <w:pPr>
        <w:tabs>
          <w:tab w:val="num" w:pos="1260"/>
        </w:tabs>
        <w:ind w:left="1260" w:hanging="360"/>
      </w:pPr>
      <w:rPr>
        <w:rFonts w:ascii="Wingdings" w:hAnsi="Wingdings" w:hint="default"/>
        <w:color w:val="006699"/>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nsid w:val="3302039A"/>
    <w:multiLevelType w:val="hybridMultilevel"/>
    <w:tmpl w:val="F40896AE"/>
    <w:lvl w:ilvl="0" w:tplc="0407000F">
      <w:start w:val="1"/>
      <w:numFmt w:val="decimal"/>
      <w:lvlText w:val="%1."/>
      <w:lvlJc w:val="left"/>
      <w:pPr>
        <w:tabs>
          <w:tab w:val="num" w:pos="360"/>
        </w:tabs>
        <w:ind w:left="360" w:hanging="360"/>
      </w:pPr>
      <w:rPr>
        <w:rFonts w:hint="default"/>
      </w:rPr>
    </w:lvl>
    <w:lvl w:ilvl="1" w:tplc="FA9A8332">
      <w:start w:val="5"/>
      <w:numFmt w:val="bullet"/>
      <w:lvlText w:val="-"/>
      <w:lvlJc w:val="left"/>
      <w:pPr>
        <w:tabs>
          <w:tab w:val="num" w:pos="1080"/>
        </w:tabs>
        <w:ind w:left="1080" w:hanging="360"/>
      </w:pPr>
      <w:rPr>
        <w:rFonts w:ascii="Arial" w:eastAsia="Times New Roman" w:hAnsi="Arial" w:cs="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432C39D7"/>
    <w:multiLevelType w:val="hybridMultilevel"/>
    <w:tmpl w:val="ACFA5D0C"/>
    <w:lvl w:ilvl="0" w:tplc="40FEC9B2">
      <w:start w:val="1"/>
      <w:numFmt w:val="lowerLetter"/>
      <w:lvlText w:val="%1)"/>
      <w:lvlJc w:val="left"/>
      <w:pPr>
        <w:tabs>
          <w:tab w:val="num" w:pos="1721"/>
        </w:tabs>
        <w:ind w:left="1721" w:hanging="870"/>
      </w:pPr>
      <w:rPr>
        <w:rFonts w:hint="default"/>
      </w:r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17">
    <w:nsid w:val="44082A33"/>
    <w:multiLevelType w:val="hybridMultilevel"/>
    <w:tmpl w:val="711805FA"/>
    <w:lvl w:ilvl="0" w:tplc="6F50C822">
      <w:start w:val="1"/>
      <w:numFmt w:val="lowerLetter"/>
      <w:lvlText w:val="%1)"/>
      <w:lvlJc w:val="left"/>
      <w:pPr>
        <w:ind w:left="1212" w:hanging="360"/>
      </w:pPr>
      <w:rPr>
        <w:rFonts w:hint="default"/>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18">
    <w:nsid w:val="44634049"/>
    <w:multiLevelType w:val="hybridMultilevel"/>
    <w:tmpl w:val="053E71A6"/>
    <w:lvl w:ilvl="0" w:tplc="CE32D8DC">
      <w:start w:val="1"/>
      <w:numFmt w:val="decimal"/>
      <w:lvlText w:val="%1."/>
      <w:lvlJc w:val="left"/>
      <w:pPr>
        <w:tabs>
          <w:tab w:val="num" w:pos="360"/>
        </w:tabs>
        <w:ind w:left="360" w:hanging="360"/>
      </w:pPr>
      <w:rPr>
        <w:rFonts w:hint="default"/>
        <w:b/>
      </w:rPr>
    </w:lvl>
    <w:lvl w:ilvl="1" w:tplc="40FEC9B2">
      <w:start w:val="1"/>
      <w:numFmt w:val="lowerLetter"/>
      <w:lvlText w:val="%2)"/>
      <w:lvlJc w:val="left"/>
      <w:pPr>
        <w:tabs>
          <w:tab w:val="num" w:pos="1410"/>
        </w:tabs>
        <w:ind w:left="1410" w:hanging="87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6986B8E"/>
    <w:multiLevelType w:val="hybridMultilevel"/>
    <w:tmpl w:val="2E06ECE2"/>
    <w:lvl w:ilvl="0" w:tplc="0407000F">
      <w:start w:val="1"/>
      <w:numFmt w:val="decimal"/>
      <w:lvlText w:val="%1."/>
      <w:lvlJc w:val="left"/>
      <w:pPr>
        <w:tabs>
          <w:tab w:val="num" w:pos="360"/>
        </w:tabs>
        <w:ind w:left="360" w:hanging="360"/>
      </w:pPr>
      <w:rPr>
        <w:rFonts w:hint="default"/>
      </w:rPr>
    </w:lvl>
    <w:lvl w:ilvl="1" w:tplc="CAAC9CD6">
      <w:start w:val="1"/>
      <w:numFmt w:val="decimal"/>
      <w:lvlText w:val="%2."/>
      <w:lvlJc w:val="left"/>
      <w:pPr>
        <w:tabs>
          <w:tab w:val="num" w:pos="720"/>
        </w:tabs>
        <w:ind w:left="720" w:hanging="360"/>
      </w:pPr>
      <w:rPr>
        <w:rFonts w:hint="default"/>
      </w:rPr>
    </w:lvl>
    <w:lvl w:ilvl="2" w:tplc="2E8E425A">
      <w:start w:val="1"/>
      <w:numFmt w:val="upperRoman"/>
      <w:lvlText w:val="%3."/>
      <w:lvlJc w:val="left"/>
      <w:pPr>
        <w:tabs>
          <w:tab w:val="num" w:pos="1080"/>
        </w:tabs>
        <w:ind w:left="1080" w:hanging="72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4AA27DC6"/>
    <w:multiLevelType w:val="hybridMultilevel"/>
    <w:tmpl w:val="C5EA5A6C"/>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1">
    <w:nsid w:val="4AC36F11"/>
    <w:multiLevelType w:val="hybridMultilevel"/>
    <w:tmpl w:val="62782B2A"/>
    <w:lvl w:ilvl="0" w:tplc="A22ACD00">
      <w:start w:val="1"/>
      <w:numFmt w:val="bullet"/>
      <w:lvlText w:val="-"/>
      <w:lvlJc w:val="left"/>
      <w:pPr>
        <w:ind w:left="1779" w:hanging="360"/>
      </w:pPr>
      <w:rPr>
        <w:rFonts w:ascii="Arial" w:hAnsi="Arial" w:hint="default"/>
      </w:rPr>
    </w:lvl>
    <w:lvl w:ilvl="1" w:tplc="04070003" w:tentative="1">
      <w:start w:val="1"/>
      <w:numFmt w:val="bullet"/>
      <w:lvlText w:val="o"/>
      <w:lvlJc w:val="left"/>
      <w:pPr>
        <w:ind w:left="2499" w:hanging="360"/>
      </w:pPr>
      <w:rPr>
        <w:rFonts w:ascii="Courier New" w:hAnsi="Courier New" w:cs="Courier New" w:hint="default"/>
      </w:rPr>
    </w:lvl>
    <w:lvl w:ilvl="2" w:tplc="04070005" w:tentative="1">
      <w:start w:val="1"/>
      <w:numFmt w:val="bullet"/>
      <w:lvlText w:val=""/>
      <w:lvlJc w:val="left"/>
      <w:pPr>
        <w:ind w:left="3219" w:hanging="360"/>
      </w:pPr>
      <w:rPr>
        <w:rFonts w:ascii="Wingdings" w:hAnsi="Wingdings" w:hint="default"/>
      </w:rPr>
    </w:lvl>
    <w:lvl w:ilvl="3" w:tplc="04070001" w:tentative="1">
      <w:start w:val="1"/>
      <w:numFmt w:val="bullet"/>
      <w:lvlText w:val=""/>
      <w:lvlJc w:val="left"/>
      <w:pPr>
        <w:ind w:left="3939" w:hanging="360"/>
      </w:pPr>
      <w:rPr>
        <w:rFonts w:ascii="Symbol" w:hAnsi="Symbol" w:hint="default"/>
      </w:rPr>
    </w:lvl>
    <w:lvl w:ilvl="4" w:tplc="04070003" w:tentative="1">
      <w:start w:val="1"/>
      <w:numFmt w:val="bullet"/>
      <w:lvlText w:val="o"/>
      <w:lvlJc w:val="left"/>
      <w:pPr>
        <w:ind w:left="4659" w:hanging="360"/>
      </w:pPr>
      <w:rPr>
        <w:rFonts w:ascii="Courier New" w:hAnsi="Courier New" w:cs="Courier New" w:hint="default"/>
      </w:rPr>
    </w:lvl>
    <w:lvl w:ilvl="5" w:tplc="04070005" w:tentative="1">
      <w:start w:val="1"/>
      <w:numFmt w:val="bullet"/>
      <w:lvlText w:val=""/>
      <w:lvlJc w:val="left"/>
      <w:pPr>
        <w:ind w:left="5379" w:hanging="360"/>
      </w:pPr>
      <w:rPr>
        <w:rFonts w:ascii="Wingdings" w:hAnsi="Wingdings" w:hint="default"/>
      </w:rPr>
    </w:lvl>
    <w:lvl w:ilvl="6" w:tplc="04070001" w:tentative="1">
      <w:start w:val="1"/>
      <w:numFmt w:val="bullet"/>
      <w:lvlText w:val=""/>
      <w:lvlJc w:val="left"/>
      <w:pPr>
        <w:ind w:left="6099" w:hanging="360"/>
      </w:pPr>
      <w:rPr>
        <w:rFonts w:ascii="Symbol" w:hAnsi="Symbol" w:hint="default"/>
      </w:rPr>
    </w:lvl>
    <w:lvl w:ilvl="7" w:tplc="04070003" w:tentative="1">
      <w:start w:val="1"/>
      <w:numFmt w:val="bullet"/>
      <w:lvlText w:val="o"/>
      <w:lvlJc w:val="left"/>
      <w:pPr>
        <w:ind w:left="6819" w:hanging="360"/>
      </w:pPr>
      <w:rPr>
        <w:rFonts w:ascii="Courier New" w:hAnsi="Courier New" w:cs="Courier New" w:hint="default"/>
      </w:rPr>
    </w:lvl>
    <w:lvl w:ilvl="8" w:tplc="04070005" w:tentative="1">
      <w:start w:val="1"/>
      <w:numFmt w:val="bullet"/>
      <w:lvlText w:val=""/>
      <w:lvlJc w:val="left"/>
      <w:pPr>
        <w:ind w:left="7539" w:hanging="360"/>
      </w:pPr>
      <w:rPr>
        <w:rFonts w:ascii="Wingdings" w:hAnsi="Wingdings" w:hint="default"/>
      </w:rPr>
    </w:lvl>
  </w:abstractNum>
  <w:abstractNum w:abstractNumId="22">
    <w:nsid w:val="4D1431AC"/>
    <w:multiLevelType w:val="hybridMultilevel"/>
    <w:tmpl w:val="9B08F5B2"/>
    <w:lvl w:ilvl="0" w:tplc="DDE65EFE">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hint="default"/>
      </w:rPr>
    </w:lvl>
    <w:lvl w:ilvl="3" w:tplc="0407000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3">
    <w:nsid w:val="4E1255BA"/>
    <w:multiLevelType w:val="hybridMultilevel"/>
    <w:tmpl w:val="13CCB97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4">
    <w:nsid w:val="506E51A9"/>
    <w:multiLevelType w:val="hybridMultilevel"/>
    <w:tmpl w:val="1AFA5DC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14F03ED"/>
    <w:multiLevelType w:val="hybridMultilevel"/>
    <w:tmpl w:val="AF364ED0"/>
    <w:lvl w:ilvl="0" w:tplc="00ECB120">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6">
    <w:nsid w:val="541D1244"/>
    <w:multiLevelType w:val="hybridMultilevel"/>
    <w:tmpl w:val="223A8D42"/>
    <w:lvl w:ilvl="0" w:tplc="82CC4EB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7">
    <w:nsid w:val="5A5A6660"/>
    <w:multiLevelType w:val="hybridMultilevel"/>
    <w:tmpl w:val="DB944EB6"/>
    <w:lvl w:ilvl="0" w:tplc="4D7029E0">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8">
    <w:nsid w:val="5B0234AE"/>
    <w:multiLevelType w:val="hybridMultilevel"/>
    <w:tmpl w:val="2F3C60D2"/>
    <w:lvl w:ilvl="0" w:tplc="544AFC56">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9">
    <w:nsid w:val="62872ACE"/>
    <w:multiLevelType w:val="hybridMultilevel"/>
    <w:tmpl w:val="1AC41F74"/>
    <w:lvl w:ilvl="0" w:tplc="F4621F6E">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0">
    <w:nsid w:val="62F7721E"/>
    <w:multiLevelType w:val="multilevel"/>
    <w:tmpl w:val="F2A8CE68"/>
    <w:lvl w:ilvl="0">
      <w:start w:val="1"/>
      <w:numFmt w:val="bullet"/>
      <w:lvlText w:val=""/>
      <w:lvlJc w:val="left"/>
      <w:pPr>
        <w:ind w:left="928" w:hanging="360"/>
      </w:pPr>
      <w:rPr>
        <w:rFonts w:ascii="Wingdings" w:hAnsi="Wingdings" w:hint="default"/>
        <w:color w:val="0099CC"/>
      </w:rPr>
    </w:lvl>
    <w:lvl w:ilvl="1">
      <w:start w:val="1"/>
      <w:numFmt w:val="bullet"/>
      <w:lvlText w:val=""/>
      <w:lvlJc w:val="left"/>
      <w:pPr>
        <w:ind w:left="1288" w:hanging="360"/>
      </w:pPr>
      <w:rPr>
        <w:rFonts w:ascii="Symbol" w:hAnsi="Symbol" w:hint="default"/>
        <w:color w:val="006666"/>
      </w:rPr>
    </w:lvl>
    <w:lvl w:ilvl="2">
      <w:start w:val="1"/>
      <w:numFmt w:val="bullet"/>
      <w:lvlText w:val=""/>
      <w:lvlJc w:val="left"/>
      <w:pPr>
        <w:ind w:left="1648" w:hanging="360"/>
      </w:pPr>
      <w:rPr>
        <w:rFonts w:ascii="Symbol" w:hAnsi="Symbol" w:hint="default"/>
        <w:color w:val="003366"/>
      </w:rPr>
    </w:lvl>
    <w:lvl w:ilvl="3">
      <w:start w:val="1"/>
      <w:numFmt w:val="bullet"/>
      <w:lvlText w:val="-"/>
      <w:lvlJc w:val="left"/>
      <w:pPr>
        <w:ind w:left="2008" w:hanging="360"/>
      </w:pPr>
      <w:rPr>
        <w:rFonts w:ascii="Arial" w:hAnsi="Arial" w:hint="default"/>
        <w:color w:val="auto"/>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1">
    <w:nsid w:val="630500F6"/>
    <w:multiLevelType w:val="hybridMultilevel"/>
    <w:tmpl w:val="F40E6B50"/>
    <w:lvl w:ilvl="0" w:tplc="A22ACD0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39471C6"/>
    <w:multiLevelType w:val="multilevel"/>
    <w:tmpl w:val="F2A8CE68"/>
    <w:lvl w:ilvl="0">
      <w:start w:val="1"/>
      <w:numFmt w:val="bullet"/>
      <w:lvlText w:val=""/>
      <w:lvlJc w:val="left"/>
      <w:pPr>
        <w:ind w:left="360" w:hanging="360"/>
      </w:pPr>
      <w:rPr>
        <w:rFonts w:ascii="Wingdings" w:hAnsi="Wingdings" w:hint="default"/>
        <w:color w:val="0099CC"/>
      </w:rPr>
    </w:lvl>
    <w:lvl w:ilvl="1">
      <w:start w:val="1"/>
      <w:numFmt w:val="bullet"/>
      <w:lvlText w:val=""/>
      <w:lvlJc w:val="left"/>
      <w:pPr>
        <w:ind w:left="720" w:hanging="360"/>
      </w:pPr>
      <w:rPr>
        <w:rFonts w:ascii="Symbol" w:hAnsi="Symbol" w:hint="default"/>
        <w:color w:val="006666"/>
      </w:rPr>
    </w:lvl>
    <w:lvl w:ilvl="2">
      <w:start w:val="1"/>
      <w:numFmt w:val="bullet"/>
      <w:lvlText w:val=""/>
      <w:lvlJc w:val="left"/>
      <w:pPr>
        <w:ind w:left="1080" w:hanging="360"/>
      </w:pPr>
      <w:rPr>
        <w:rFonts w:ascii="Symbol" w:hAnsi="Symbol" w:hint="default"/>
        <w:color w:val="003366"/>
      </w:rPr>
    </w:lvl>
    <w:lvl w:ilvl="3">
      <w:start w:val="1"/>
      <w:numFmt w:val="bullet"/>
      <w:lvlText w:val="-"/>
      <w:lvlJc w:val="left"/>
      <w:pPr>
        <w:ind w:left="928"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D07909"/>
    <w:multiLevelType w:val="hybridMultilevel"/>
    <w:tmpl w:val="4E98B4AC"/>
    <w:lvl w:ilvl="0" w:tplc="04070017">
      <w:start w:val="1"/>
      <w:numFmt w:val="lowerLetter"/>
      <w:lvlText w:val="%1)"/>
      <w:lvlJc w:val="left"/>
      <w:pPr>
        <w:ind w:left="1211" w:hanging="360"/>
      </w:pPr>
      <w:rPr>
        <w:rFonts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nsid w:val="67254D8A"/>
    <w:multiLevelType w:val="hybridMultilevel"/>
    <w:tmpl w:val="4760B9FE"/>
    <w:lvl w:ilvl="0" w:tplc="0CDCB2EE">
      <w:start w:val="1"/>
      <w:numFmt w:val="decimal"/>
      <w:lvlText w:val="%1."/>
      <w:lvlJc w:val="left"/>
      <w:pPr>
        <w:tabs>
          <w:tab w:val="num" w:pos="360"/>
        </w:tabs>
        <w:ind w:left="360" w:hanging="360"/>
      </w:pPr>
      <w:rPr>
        <w:rFonts w:hint="default"/>
      </w:rPr>
    </w:lvl>
    <w:lvl w:ilvl="1" w:tplc="146011A2">
      <w:start w:val="1"/>
      <w:numFmt w:val="bullet"/>
      <w:lvlText w:val=""/>
      <w:lvlJc w:val="left"/>
      <w:pPr>
        <w:tabs>
          <w:tab w:val="num" w:pos="1080"/>
        </w:tabs>
        <w:ind w:left="1080" w:hanging="360"/>
      </w:pPr>
      <w:rPr>
        <w:rFonts w:ascii="Wingdings" w:hAnsi="Wingdings" w:hint="default"/>
        <w:color w:val="006699"/>
      </w:rPr>
    </w:lvl>
    <w:lvl w:ilvl="2" w:tplc="E812781C">
      <w:start w:val="1"/>
      <w:numFmt w:val="lowerLetter"/>
      <w:lvlText w:val="%3)"/>
      <w:lvlJc w:val="left"/>
      <w:pPr>
        <w:tabs>
          <w:tab w:val="num" w:pos="720"/>
        </w:tabs>
        <w:ind w:left="72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nsid w:val="6CC479A4"/>
    <w:multiLevelType w:val="hybridMultilevel"/>
    <w:tmpl w:val="BF9EBA5C"/>
    <w:lvl w:ilvl="0" w:tplc="A22ACD0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3FE3199"/>
    <w:multiLevelType w:val="hybridMultilevel"/>
    <w:tmpl w:val="70FCDEE6"/>
    <w:lvl w:ilvl="0" w:tplc="CBDEB39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7">
    <w:nsid w:val="75905764"/>
    <w:multiLevelType w:val="hybridMultilevel"/>
    <w:tmpl w:val="A468C95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nsid w:val="774B5698"/>
    <w:multiLevelType w:val="hybridMultilevel"/>
    <w:tmpl w:val="A10A76B0"/>
    <w:lvl w:ilvl="0" w:tplc="C568E166">
      <w:start w:val="1"/>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39">
    <w:nsid w:val="7CBA3BAE"/>
    <w:multiLevelType w:val="multilevel"/>
    <w:tmpl w:val="752210AE"/>
    <w:lvl w:ilvl="0">
      <w:start w:val="1"/>
      <w:numFmt w:val="bullet"/>
      <w:lvlText w:val=""/>
      <w:lvlJc w:val="left"/>
      <w:pPr>
        <w:ind w:left="360" w:hanging="360"/>
      </w:pPr>
      <w:rPr>
        <w:rFonts w:ascii="Wingdings" w:hAnsi="Wingdings" w:hint="default"/>
        <w:color w:val="0099CC"/>
      </w:rPr>
    </w:lvl>
    <w:lvl w:ilvl="1">
      <w:start w:val="1"/>
      <w:numFmt w:val="bullet"/>
      <w:lvlText w:val=""/>
      <w:lvlJc w:val="left"/>
      <w:pPr>
        <w:ind w:left="720" w:hanging="360"/>
      </w:pPr>
      <w:rPr>
        <w:rFonts w:ascii="Symbol" w:hAnsi="Symbol" w:hint="default"/>
        <w:color w:val="006666"/>
      </w:rPr>
    </w:lvl>
    <w:lvl w:ilvl="2">
      <w:start w:val="1"/>
      <w:numFmt w:val="bullet"/>
      <w:lvlText w:val=""/>
      <w:lvlJc w:val="left"/>
      <w:pPr>
        <w:ind w:left="1080" w:hanging="360"/>
      </w:pPr>
      <w:rPr>
        <w:rFonts w:ascii="Symbol" w:hAnsi="Symbol" w:hint="default"/>
        <w:color w:val="003366"/>
      </w:rPr>
    </w:lvl>
    <w:lvl w:ilvl="3">
      <w:start w:val="5"/>
      <w:numFmt w:val="bullet"/>
      <w:lvlText w:val="-"/>
      <w:lvlJc w:val="left"/>
      <w:pPr>
        <w:ind w:left="928" w:hanging="360"/>
      </w:pPr>
      <w:rPr>
        <w:rFonts w:ascii="Arial" w:eastAsia="Times New Roman" w:hAnsi="Arial" w:cs="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EB83D3B"/>
    <w:multiLevelType w:val="hybridMultilevel"/>
    <w:tmpl w:val="03342270"/>
    <w:lvl w:ilvl="0" w:tplc="BD3E82FE">
      <w:start w:val="1"/>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1">
    <w:nsid w:val="7EBB1B23"/>
    <w:multiLevelType w:val="hybridMultilevel"/>
    <w:tmpl w:val="BF709ECC"/>
    <w:lvl w:ilvl="0" w:tplc="8EF84852">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2">
    <w:nsid w:val="7FBA48FC"/>
    <w:multiLevelType w:val="hybridMultilevel"/>
    <w:tmpl w:val="61D8320A"/>
    <w:lvl w:ilvl="0" w:tplc="BE847AE0">
      <w:start w:val="1"/>
      <w:numFmt w:val="decimal"/>
      <w:lvlText w:val="%1."/>
      <w:lvlJc w:val="left"/>
      <w:pPr>
        <w:tabs>
          <w:tab w:val="num" w:pos="900"/>
        </w:tabs>
        <w:ind w:left="900" w:hanging="360"/>
      </w:pPr>
      <w:rPr>
        <w:rFonts w:hint="default"/>
      </w:rPr>
    </w:lvl>
    <w:lvl w:ilvl="1" w:tplc="EFD6A3D6">
      <w:start w:val="2"/>
      <w:numFmt w:val="lowerLetter"/>
      <w:lvlText w:val="%2)"/>
      <w:lvlJc w:val="left"/>
      <w:pPr>
        <w:tabs>
          <w:tab w:val="num" w:pos="900"/>
        </w:tabs>
        <w:ind w:left="900" w:hanging="360"/>
      </w:pPr>
      <w:rPr>
        <w:rFonts w:cs="Arial" w:hint="default"/>
      </w:rPr>
    </w:lvl>
    <w:lvl w:ilvl="2" w:tplc="146011A2">
      <w:start w:val="1"/>
      <w:numFmt w:val="bullet"/>
      <w:lvlText w:val=""/>
      <w:lvlJc w:val="left"/>
      <w:pPr>
        <w:tabs>
          <w:tab w:val="num" w:pos="1260"/>
        </w:tabs>
        <w:ind w:left="1260" w:hanging="360"/>
      </w:pPr>
      <w:rPr>
        <w:rFonts w:ascii="Wingdings" w:hAnsi="Wingdings" w:hint="default"/>
        <w:color w:val="006699"/>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18"/>
  </w:num>
  <w:num w:numId="2">
    <w:abstractNumId w:val="38"/>
  </w:num>
  <w:num w:numId="3">
    <w:abstractNumId w:val="34"/>
  </w:num>
  <w:num w:numId="4">
    <w:abstractNumId w:val="15"/>
  </w:num>
  <w:num w:numId="5">
    <w:abstractNumId w:val="23"/>
  </w:num>
  <w:num w:numId="6">
    <w:abstractNumId w:val="40"/>
  </w:num>
  <w:num w:numId="7">
    <w:abstractNumId w:val="42"/>
  </w:num>
  <w:num w:numId="8">
    <w:abstractNumId w:val="14"/>
  </w:num>
  <w:num w:numId="9">
    <w:abstractNumId w:val="22"/>
  </w:num>
  <w:num w:numId="10">
    <w:abstractNumId w:val="19"/>
  </w:num>
  <w:num w:numId="11">
    <w:abstractNumId w:val="7"/>
  </w:num>
  <w:num w:numId="12">
    <w:abstractNumId w:val="37"/>
  </w:num>
  <w:num w:numId="13">
    <w:abstractNumId w:val="8"/>
  </w:num>
  <w:num w:numId="14">
    <w:abstractNumId w:val="28"/>
  </w:num>
  <w:num w:numId="15">
    <w:abstractNumId w:val="29"/>
  </w:num>
  <w:num w:numId="16">
    <w:abstractNumId w:val="36"/>
  </w:num>
  <w:num w:numId="17">
    <w:abstractNumId w:val="41"/>
  </w:num>
  <w:num w:numId="18">
    <w:abstractNumId w:val="26"/>
  </w:num>
  <w:num w:numId="19">
    <w:abstractNumId w:val="11"/>
  </w:num>
  <w:num w:numId="20">
    <w:abstractNumId w:val="1"/>
  </w:num>
  <w:num w:numId="21">
    <w:abstractNumId w:val="25"/>
  </w:num>
  <w:num w:numId="22">
    <w:abstractNumId w:val="6"/>
  </w:num>
  <w:num w:numId="23">
    <w:abstractNumId w:val="9"/>
  </w:num>
  <w:num w:numId="24">
    <w:abstractNumId w:val="30"/>
  </w:num>
  <w:num w:numId="25">
    <w:abstractNumId w:val="27"/>
  </w:num>
  <w:num w:numId="26">
    <w:abstractNumId w:val="16"/>
  </w:num>
  <w:num w:numId="27">
    <w:abstractNumId w:val="32"/>
  </w:num>
  <w:num w:numId="28">
    <w:abstractNumId w:val="39"/>
  </w:num>
  <w:num w:numId="29">
    <w:abstractNumId w:val="12"/>
  </w:num>
  <w:num w:numId="30">
    <w:abstractNumId w:val="24"/>
  </w:num>
  <w:num w:numId="31">
    <w:abstractNumId w:val="13"/>
  </w:num>
  <w:num w:numId="32">
    <w:abstractNumId w:val="20"/>
  </w:num>
  <w:num w:numId="33">
    <w:abstractNumId w:val="35"/>
  </w:num>
  <w:num w:numId="34">
    <w:abstractNumId w:val="4"/>
    <w:lvlOverride w:ilvl="0">
      <w:lvl w:ilvl="0">
        <w:start w:val="1"/>
        <w:numFmt w:val="decimal"/>
        <w:lvlText w:val="(%1)"/>
        <w:lvlJc w:val="left"/>
        <w:pPr>
          <w:tabs>
            <w:tab w:val="num" w:pos="1152"/>
          </w:tabs>
          <w:ind w:left="1152" w:hanging="576"/>
        </w:pPr>
        <w:rPr>
          <w:rFonts w:ascii="Arial" w:hAnsi="Arial" w:cs="Arial"/>
          <w:sz w:val="32"/>
          <w:szCs w:val="32"/>
          <w:vertAlign w:val="superscript"/>
        </w:rPr>
      </w:lvl>
    </w:lvlOverride>
  </w:num>
  <w:num w:numId="35">
    <w:abstractNumId w:val="5"/>
  </w:num>
  <w:num w:numId="36">
    <w:abstractNumId w:val="31"/>
  </w:num>
  <w:num w:numId="37">
    <w:abstractNumId w:val="0"/>
  </w:num>
  <w:num w:numId="38">
    <w:abstractNumId w:val="21"/>
  </w:num>
  <w:num w:numId="39">
    <w:abstractNumId w:val="17"/>
  </w:num>
  <w:num w:numId="40">
    <w:abstractNumId w:val="3"/>
  </w:num>
  <w:num w:numId="41">
    <w:abstractNumId w:val="33"/>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04"/>
    <w:rsid w:val="00000025"/>
    <w:rsid w:val="00001189"/>
    <w:rsid w:val="00002C25"/>
    <w:rsid w:val="000037F6"/>
    <w:rsid w:val="00004D72"/>
    <w:rsid w:val="00006B79"/>
    <w:rsid w:val="00006F98"/>
    <w:rsid w:val="00012A08"/>
    <w:rsid w:val="00012A85"/>
    <w:rsid w:val="000141C1"/>
    <w:rsid w:val="000142C8"/>
    <w:rsid w:val="000207DD"/>
    <w:rsid w:val="000215F6"/>
    <w:rsid w:val="0002529C"/>
    <w:rsid w:val="00025AF3"/>
    <w:rsid w:val="00035D5A"/>
    <w:rsid w:val="000402A9"/>
    <w:rsid w:val="00042399"/>
    <w:rsid w:val="000468B3"/>
    <w:rsid w:val="00046999"/>
    <w:rsid w:val="00052110"/>
    <w:rsid w:val="000530AC"/>
    <w:rsid w:val="00054972"/>
    <w:rsid w:val="00054D65"/>
    <w:rsid w:val="0005518F"/>
    <w:rsid w:val="00055756"/>
    <w:rsid w:val="00055985"/>
    <w:rsid w:val="000561F1"/>
    <w:rsid w:val="00056475"/>
    <w:rsid w:val="0006242C"/>
    <w:rsid w:val="00063368"/>
    <w:rsid w:val="00063609"/>
    <w:rsid w:val="0007061C"/>
    <w:rsid w:val="00070629"/>
    <w:rsid w:val="00072C9C"/>
    <w:rsid w:val="000763D6"/>
    <w:rsid w:val="00081C73"/>
    <w:rsid w:val="00082668"/>
    <w:rsid w:val="000829C7"/>
    <w:rsid w:val="00083159"/>
    <w:rsid w:val="00083D97"/>
    <w:rsid w:val="00084EE2"/>
    <w:rsid w:val="00085D17"/>
    <w:rsid w:val="00093F2D"/>
    <w:rsid w:val="00094451"/>
    <w:rsid w:val="00094F55"/>
    <w:rsid w:val="00096BBF"/>
    <w:rsid w:val="000A065C"/>
    <w:rsid w:val="000A15F9"/>
    <w:rsid w:val="000A178F"/>
    <w:rsid w:val="000A2133"/>
    <w:rsid w:val="000A4035"/>
    <w:rsid w:val="000A6141"/>
    <w:rsid w:val="000A6CA4"/>
    <w:rsid w:val="000A6FB2"/>
    <w:rsid w:val="000B0087"/>
    <w:rsid w:val="000B13C2"/>
    <w:rsid w:val="000B22C3"/>
    <w:rsid w:val="000B2A97"/>
    <w:rsid w:val="000B55BF"/>
    <w:rsid w:val="000B6A94"/>
    <w:rsid w:val="000B6AB8"/>
    <w:rsid w:val="000C0C94"/>
    <w:rsid w:val="000C0DBD"/>
    <w:rsid w:val="000C3BFE"/>
    <w:rsid w:val="000C7D98"/>
    <w:rsid w:val="000D1892"/>
    <w:rsid w:val="000D790C"/>
    <w:rsid w:val="000E1626"/>
    <w:rsid w:val="000E1903"/>
    <w:rsid w:val="000E27BE"/>
    <w:rsid w:val="000E43B3"/>
    <w:rsid w:val="000E5C56"/>
    <w:rsid w:val="000E70FF"/>
    <w:rsid w:val="000E7A13"/>
    <w:rsid w:val="000F797D"/>
    <w:rsid w:val="00105CAC"/>
    <w:rsid w:val="00106D96"/>
    <w:rsid w:val="00110D7A"/>
    <w:rsid w:val="00111AD2"/>
    <w:rsid w:val="00112748"/>
    <w:rsid w:val="001168C8"/>
    <w:rsid w:val="00120076"/>
    <w:rsid w:val="0012161D"/>
    <w:rsid w:val="00127BAB"/>
    <w:rsid w:val="00130413"/>
    <w:rsid w:val="00131682"/>
    <w:rsid w:val="00135350"/>
    <w:rsid w:val="0014163C"/>
    <w:rsid w:val="00144D8C"/>
    <w:rsid w:val="00154710"/>
    <w:rsid w:val="00155AA0"/>
    <w:rsid w:val="001566D6"/>
    <w:rsid w:val="00156B9C"/>
    <w:rsid w:val="0016420E"/>
    <w:rsid w:val="00164C45"/>
    <w:rsid w:val="0017053C"/>
    <w:rsid w:val="00172365"/>
    <w:rsid w:val="00173AE3"/>
    <w:rsid w:val="00175E90"/>
    <w:rsid w:val="00176943"/>
    <w:rsid w:val="00177A97"/>
    <w:rsid w:val="00180128"/>
    <w:rsid w:val="00180169"/>
    <w:rsid w:val="00181BDD"/>
    <w:rsid w:val="001831AB"/>
    <w:rsid w:val="00183E54"/>
    <w:rsid w:val="001840A2"/>
    <w:rsid w:val="00186D57"/>
    <w:rsid w:val="00186F89"/>
    <w:rsid w:val="00187DCC"/>
    <w:rsid w:val="00191CF5"/>
    <w:rsid w:val="0019547F"/>
    <w:rsid w:val="001A48BC"/>
    <w:rsid w:val="001B1E07"/>
    <w:rsid w:val="001B21B6"/>
    <w:rsid w:val="001B226F"/>
    <w:rsid w:val="001B23FD"/>
    <w:rsid w:val="001B2FAB"/>
    <w:rsid w:val="001B322B"/>
    <w:rsid w:val="001B3702"/>
    <w:rsid w:val="001B6B0E"/>
    <w:rsid w:val="001B7B74"/>
    <w:rsid w:val="001C09F5"/>
    <w:rsid w:val="001C0CF0"/>
    <w:rsid w:val="001C1907"/>
    <w:rsid w:val="001C3554"/>
    <w:rsid w:val="001C382C"/>
    <w:rsid w:val="001C3EC4"/>
    <w:rsid w:val="001C5096"/>
    <w:rsid w:val="001C7842"/>
    <w:rsid w:val="001C7EBC"/>
    <w:rsid w:val="001C7F71"/>
    <w:rsid w:val="001D183C"/>
    <w:rsid w:val="001D2C93"/>
    <w:rsid w:val="001D3C27"/>
    <w:rsid w:val="001D43D8"/>
    <w:rsid w:val="001E054B"/>
    <w:rsid w:val="001E19B2"/>
    <w:rsid w:val="001E50B5"/>
    <w:rsid w:val="001F008E"/>
    <w:rsid w:val="001F3426"/>
    <w:rsid w:val="001F50E7"/>
    <w:rsid w:val="001F6EB7"/>
    <w:rsid w:val="001F7C2D"/>
    <w:rsid w:val="0020319E"/>
    <w:rsid w:val="00203CC3"/>
    <w:rsid w:val="00206071"/>
    <w:rsid w:val="00211ACA"/>
    <w:rsid w:val="00213DE8"/>
    <w:rsid w:val="002153A7"/>
    <w:rsid w:val="002155F8"/>
    <w:rsid w:val="002170CA"/>
    <w:rsid w:val="002211B4"/>
    <w:rsid w:val="00222071"/>
    <w:rsid w:val="00222B65"/>
    <w:rsid w:val="00222E70"/>
    <w:rsid w:val="002240AD"/>
    <w:rsid w:val="00225955"/>
    <w:rsid w:val="00226EF5"/>
    <w:rsid w:val="00226FBC"/>
    <w:rsid w:val="00230679"/>
    <w:rsid w:val="00230757"/>
    <w:rsid w:val="002321F3"/>
    <w:rsid w:val="0023265D"/>
    <w:rsid w:val="002343F1"/>
    <w:rsid w:val="002439BB"/>
    <w:rsid w:val="002448D5"/>
    <w:rsid w:val="0024596A"/>
    <w:rsid w:val="002507A5"/>
    <w:rsid w:val="0025170E"/>
    <w:rsid w:val="0025432A"/>
    <w:rsid w:val="00257213"/>
    <w:rsid w:val="00264A9C"/>
    <w:rsid w:val="002666E0"/>
    <w:rsid w:val="00266B43"/>
    <w:rsid w:val="0026742F"/>
    <w:rsid w:val="00267808"/>
    <w:rsid w:val="00270C87"/>
    <w:rsid w:val="002735D6"/>
    <w:rsid w:val="00273E1A"/>
    <w:rsid w:val="002801FA"/>
    <w:rsid w:val="00282CFF"/>
    <w:rsid w:val="00283018"/>
    <w:rsid w:val="002859A1"/>
    <w:rsid w:val="00286B4C"/>
    <w:rsid w:val="00287B50"/>
    <w:rsid w:val="00291278"/>
    <w:rsid w:val="0029305F"/>
    <w:rsid w:val="0029404B"/>
    <w:rsid w:val="002A7699"/>
    <w:rsid w:val="002A7D02"/>
    <w:rsid w:val="002B086A"/>
    <w:rsid w:val="002B237F"/>
    <w:rsid w:val="002B3153"/>
    <w:rsid w:val="002B41A8"/>
    <w:rsid w:val="002B5ABF"/>
    <w:rsid w:val="002B7A33"/>
    <w:rsid w:val="002C113F"/>
    <w:rsid w:val="002C6B91"/>
    <w:rsid w:val="002C7309"/>
    <w:rsid w:val="002D0B82"/>
    <w:rsid w:val="002D2557"/>
    <w:rsid w:val="002E3AE0"/>
    <w:rsid w:val="002E4792"/>
    <w:rsid w:val="002E4C77"/>
    <w:rsid w:val="002E521D"/>
    <w:rsid w:val="002E6A19"/>
    <w:rsid w:val="002F1577"/>
    <w:rsid w:val="003003F1"/>
    <w:rsid w:val="003012DB"/>
    <w:rsid w:val="00304905"/>
    <w:rsid w:val="00304B8F"/>
    <w:rsid w:val="00307822"/>
    <w:rsid w:val="00311CFE"/>
    <w:rsid w:val="003216CF"/>
    <w:rsid w:val="00321E29"/>
    <w:rsid w:val="00324066"/>
    <w:rsid w:val="00324975"/>
    <w:rsid w:val="00325EC8"/>
    <w:rsid w:val="00326020"/>
    <w:rsid w:val="00326074"/>
    <w:rsid w:val="0033033F"/>
    <w:rsid w:val="00332997"/>
    <w:rsid w:val="0033569E"/>
    <w:rsid w:val="003406E1"/>
    <w:rsid w:val="00345A00"/>
    <w:rsid w:val="00345F39"/>
    <w:rsid w:val="003462E7"/>
    <w:rsid w:val="003473C4"/>
    <w:rsid w:val="003557C0"/>
    <w:rsid w:val="00356768"/>
    <w:rsid w:val="003568DC"/>
    <w:rsid w:val="0035767F"/>
    <w:rsid w:val="0036170A"/>
    <w:rsid w:val="003619CD"/>
    <w:rsid w:val="00361ED4"/>
    <w:rsid w:val="003644DB"/>
    <w:rsid w:val="00365728"/>
    <w:rsid w:val="00366051"/>
    <w:rsid w:val="00366125"/>
    <w:rsid w:val="0036685F"/>
    <w:rsid w:val="003668CB"/>
    <w:rsid w:val="00367493"/>
    <w:rsid w:val="00367BE4"/>
    <w:rsid w:val="0037511C"/>
    <w:rsid w:val="0038151F"/>
    <w:rsid w:val="00382298"/>
    <w:rsid w:val="003875C1"/>
    <w:rsid w:val="00387FAE"/>
    <w:rsid w:val="00390A32"/>
    <w:rsid w:val="00392221"/>
    <w:rsid w:val="0039770F"/>
    <w:rsid w:val="00397EA8"/>
    <w:rsid w:val="003A1A83"/>
    <w:rsid w:val="003A6EEF"/>
    <w:rsid w:val="003A7778"/>
    <w:rsid w:val="003B29C6"/>
    <w:rsid w:val="003B2DA3"/>
    <w:rsid w:val="003B57C9"/>
    <w:rsid w:val="003B6FE7"/>
    <w:rsid w:val="003B754F"/>
    <w:rsid w:val="003B769B"/>
    <w:rsid w:val="003B7E75"/>
    <w:rsid w:val="003C03FE"/>
    <w:rsid w:val="003C095B"/>
    <w:rsid w:val="003C5148"/>
    <w:rsid w:val="003C721A"/>
    <w:rsid w:val="003D0748"/>
    <w:rsid w:val="003D2870"/>
    <w:rsid w:val="003D30F4"/>
    <w:rsid w:val="003D4324"/>
    <w:rsid w:val="003D649E"/>
    <w:rsid w:val="003D7018"/>
    <w:rsid w:val="003E042B"/>
    <w:rsid w:val="003E0646"/>
    <w:rsid w:val="003E0802"/>
    <w:rsid w:val="003E1485"/>
    <w:rsid w:val="003E283B"/>
    <w:rsid w:val="003E52D0"/>
    <w:rsid w:val="003E7C28"/>
    <w:rsid w:val="003F3985"/>
    <w:rsid w:val="003F4DB0"/>
    <w:rsid w:val="003F585A"/>
    <w:rsid w:val="00402D7D"/>
    <w:rsid w:val="00403901"/>
    <w:rsid w:val="004103C8"/>
    <w:rsid w:val="00413A14"/>
    <w:rsid w:val="00414B4A"/>
    <w:rsid w:val="00415DC8"/>
    <w:rsid w:val="004177D5"/>
    <w:rsid w:val="004203BC"/>
    <w:rsid w:val="0042262F"/>
    <w:rsid w:val="00427E3A"/>
    <w:rsid w:val="00427F61"/>
    <w:rsid w:val="0043064C"/>
    <w:rsid w:val="004309EF"/>
    <w:rsid w:val="00434533"/>
    <w:rsid w:val="00434F44"/>
    <w:rsid w:val="00435E06"/>
    <w:rsid w:val="00436F89"/>
    <w:rsid w:val="004431FC"/>
    <w:rsid w:val="004446AD"/>
    <w:rsid w:val="0045080F"/>
    <w:rsid w:val="00453E5C"/>
    <w:rsid w:val="00453E8D"/>
    <w:rsid w:val="004577B3"/>
    <w:rsid w:val="00457BBF"/>
    <w:rsid w:val="004625C8"/>
    <w:rsid w:val="0046380E"/>
    <w:rsid w:val="004658A6"/>
    <w:rsid w:val="004658E0"/>
    <w:rsid w:val="0046692F"/>
    <w:rsid w:val="00471C86"/>
    <w:rsid w:val="004729FD"/>
    <w:rsid w:val="0047452F"/>
    <w:rsid w:val="00474FEB"/>
    <w:rsid w:val="004765E2"/>
    <w:rsid w:val="00476C77"/>
    <w:rsid w:val="004776EA"/>
    <w:rsid w:val="00477F7A"/>
    <w:rsid w:val="00481C80"/>
    <w:rsid w:val="00482B73"/>
    <w:rsid w:val="00483B7E"/>
    <w:rsid w:val="0048553D"/>
    <w:rsid w:val="004914C2"/>
    <w:rsid w:val="00491658"/>
    <w:rsid w:val="00491B6B"/>
    <w:rsid w:val="004934EA"/>
    <w:rsid w:val="00494078"/>
    <w:rsid w:val="00494798"/>
    <w:rsid w:val="004978F8"/>
    <w:rsid w:val="004A1959"/>
    <w:rsid w:val="004A1EA7"/>
    <w:rsid w:val="004A630F"/>
    <w:rsid w:val="004A6D02"/>
    <w:rsid w:val="004A6EFE"/>
    <w:rsid w:val="004B00BD"/>
    <w:rsid w:val="004B0C07"/>
    <w:rsid w:val="004B1B0A"/>
    <w:rsid w:val="004B2505"/>
    <w:rsid w:val="004B7FE1"/>
    <w:rsid w:val="004C0849"/>
    <w:rsid w:val="004C0E2F"/>
    <w:rsid w:val="004C19B9"/>
    <w:rsid w:val="004C1B70"/>
    <w:rsid w:val="004D09D1"/>
    <w:rsid w:val="004D2127"/>
    <w:rsid w:val="004D323C"/>
    <w:rsid w:val="004D58A3"/>
    <w:rsid w:val="004E0D3D"/>
    <w:rsid w:val="004E2DA7"/>
    <w:rsid w:val="004E410B"/>
    <w:rsid w:val="004E4710"/>
    <w:rsid w:val="004E5155"/>
    <w:rsid w:val="004E549D"/>
    <w:rsid w:val="004E60FC"/>
    <w:rsid w:val="004E6312"/>
    <w:rsid w:val="004E7C18"/>
    <w:rsid w:val="004F02BE"/>
    <w:rsid w:val="004F5B1D"/>
    <w:rsid w:val="00502315"/>
    <w:rsid w:val="00503C08"/>
    <w:rsid w:val="00503E8F"/>
    <w:rsid w:val="00504BCC"/>
    <w:rsid w:val="00504EA0"/>
    <w:rsid w:val="00513189"/>
    <w:rsid w:val="00515178"/>
    <w:rsid w:val="00522FF9"/>
    <w:rsid w:val="00524797"/>
    <w:rsid w:val="00524EF6"/>
    <w:rsid w:val="005305BD"/>
    <w:rsid w:val="00530C6B"/>
    <w:rsid w:val="00531B64"/>
    <w:rsid w:val="00531C50"/>
    <w:rsid w:val="00534D94"/>
    <w:rsid w:val="005362CF"/>
    <w:rsid w:val="005404F6"/>
    <w:rsid w:val="00540ECF"/>
    <w:rsid w:val="00545375"/>
    <w:rsid w:val="00547260"/>
    <w:rsid w:val="00550439"/>
    <w:rsid w:val="00550614"/>
    <w:rsid w:val="0055140F"/>
    <w:rsid w:val="0056023D"/>
    <w:rsid w:val="00561341"/>
    <w:rsid w:val="00563ED5"/>
    <w:rsid w:val="0056546D"/>
    <w:rsid w:val="00566421"/>
    <w:rsid w:val="00566439"/>
    <w:rsid w:val="0057272C"/>
    <w:rsid w:val="005753DD"/>
    <w:rsid w:val="005764C2"/>
    <w:rsid w:val="005811ED"/>
    <w:rsid w:val="005826D5"/>
    <w:rsid w:val="005865BB"/>
    <w:rsid w:val="005870D0"/>
    <w:rsid w:val="00587D94"/>
    <w:rsid w:val="0059057A"/>
    <w:rsid w:val="00590684"/>
    <w:rsid w:val="00591D1E"/>
    <w:rsid w:val="00592B53"/>
    <w:rsid w:val="005977AE"/>
    <w:rsid w:val="00597B5F"/>
    <w:rsid w:val="005A043B"/>
    <w:rsid w:val="005A04F9"/>
    <w:rsid w:val="005A1EFC"/>
    <w:rsid w:val="005A46B9"/>
    <w:rsid w:val="005A5C89"/>
    <w:rsid w:val="005A5E67"/>
    <w:rsid w:val="005A6140"/>
    <w:rsid w:val="005A6D48"/>
    <w:rsid w:val="005B2CFF"/>
    <w:rsid w:val="005C0291"/>
    <w:rsid w:val="005C0B73"/>
    <w:rsid w:val="005C3BB5"/>
    <w:rsid w:val="005C4F95"/>
    <w:rsid w:val="005D06CF"/>
    <w:rsid w:val="005D42F5"/>
    <w:rsid w:val="005D438C"/>
    <w:rsid w:val="005D49F5"/>
    <w:rsid w:val="005D5232"/>
    <w:rsid w:val="005E039A"/>
    <w:rsid w:val="005E59C3"/>
    <w:rsid w:val="005F0DA7"/>
    <w:rsid w:val="005F3B90"/>
    <w:rsid w:val="005F49BA"/>
    <w:rsid w:val="005F5FB1"/>
    <w:rsid w:val="005F63C6"/>
    <w:rsid w:val="005F6BC3"/>
    <w:rsid w:val="00602378"/>
    <w:rsid w:val="00606C79"/>
    <w:rsid w:val="006109D1"/>
    <w:rsid w:val="00612E8C"/>
    <w:rsid w:val="0061508B"/>
    <w:rsid w:val="006150AA"/>
    <w:rsid w:val="00615C26"/>
    <w:rsid w:val="00617A38"/>
    <w:rsid w:val="00620399"/>
    <w:rsid w:val="00620596"/>
    <w:rsid w:val="00621C5B"/>
    <w:rsid w:val="00622BC7"/>
    <w:rsid w:val="00632069"/>
    <w:rsid w:val="00632223"/>
    <w:rsid w:val="00636205"/>
    <w:rsid w:val="006367F8"/>
    <w:rsid w:val="00636DE9"/>
    <w:rsid w:val="006374B0"/>
    <w:rsid w:val="006454F1"/>
    <w:rsid w:val="0065097D"/>
    <w:rsid w:val="00654023"/>
    <w:rsid w:val="006540D5"/>
    <w:rsid w:val="00663735"/>
    <w:rsid w:val="00664749"/>
    <w:rsid w:val="006654CE"/>
    <w:rsid w:val="00670305"/>
    <w:rsid w:val="0067313B"/>
    <w:rsid w:val="006745AF"/>
    <w:rsid w:val="0067787D"/>
    <w:rsid w:val="006808F6"/>
    <w:rsid w:val="006811B4"/>
    <w:rsid w:val="0068219C"/>
    <w:rsid w:val="006827E8"/>
    <w:rsid w:val="00683084"/>
    <w:rsid w:val="00683574"/>
    <w:rsid w:val="00683ED0"/>
    <w:rsid w:val="006845CF"/>
    <w:rsid w:val="00684799"/>
    <w:rsid w:val="00685157"/>
    <w:rsid w:val="0069187D"/>
    <w:rsid w:val="0069287C"/>
    <w:rsid w:val="006A36C9"/>
    <w:rsid w:val="006A4A53"/>
    <w:rsid w:val="006A6A09"/>
    <w:rsid w:val="006A76A0"/>
    <w:rsid w:val="006B0006"/>
    <w:rsid w:val="006B12AC"/>
    <w:rsid w:val="006B24CB"/>
    <w:rsid w:val="006B2F56"/>
    <w:rsid w:val="006B317C"/>
    <w:rsid w:val="006B5D19"/>
    <w:rsid w:val="006C05F8"/>
    <w:rsid w:val="006C0978"/>
    <w:rsid w:val="006C0E33"/>
    <w:rsid w:val="006C5FD2"/>
    <w:rsid w:val="006C67CD"/>
    <w:rsid w:val="006C7ACD"/>
    <w:rsid w:val="006D25D3"/>
    <w:rsid w:val="006D3285"/>
    <w:rsid w:val="006D4EB9"/>
    <w:rsid w:val="006D6199"/>
    <w:rsid w:val="006E014D"/>
    <w:rsid w:val="006E09F9"/>
    <w:rsid w:val="006E1419"/>
    <w:rsid w:val="006F0FDF"/>
    <w:rsid w:val="006F5C36"/>
    <w:rsid w:val="007011A8"/>
    <w:rsid w:val="00702E80"/>
    <w:rsid w:val="007043B2"/>
    <w:rsid w:val="007044DC"/>
    <w:rsid w:val="0070773A"/>
    <w:rsid w:val="00715640"/>
    <w:rsid w:val="00721967"/>
    <w:rsid w:val="007225CF"/>
    <w:rsid w:val="00723EEE"/>
    <w:rsid w:val="00725009"/>
    <w:rsid w:val="00730528"/>
    <w:rsid w:val="00736B11"/>
    <w:rsid w:val="007408DE"/>
    <w:rsid w:val="007413A3"/>
    <w:rsid w:val="00742991"/>
    <w:rsid w:val="007436CF"/>
    <w:rsid w:val="00743A64"/>
    <w:rsid w:val="00752723"/>
    <w:rsid w:val="00753D44"/>
    <w:rsid w:val="0075586B"/>
    <w:rsid w:val="00755AF9"/>
    <w:rsid w:val="00761BF4"/>
    <w:rsid w:val="00763F1E"/>
    <w:rsid w:val="007652EE"/>
    <w:rsid w:val="00771488"/>
    <w:rsid w:val="007714F2"/>
    <w:rsid w:val="00772ED1"/>
    <w:rsid w:val="0077610F"/>
    <w:rsid w:val="00777138"/>
    <w:rsid w:val="007820CE"/>
    <w:rsid w:val="00784492"/>
    <w:rsid w:val="00786258"/>
    <w:rsid w:val="007906C4"/>
    <w:rsid w:val="00797587"/>
    <w:rsid w:val="00797F78"/>
    <w:rsid w:val="007A1EF9"/>
    <w:rsid w:val="007A21A4"/>
    <w:rsid w:val="007A2400"/>
    <w:rsid w:val="007A285C"/>
    <w:rsid w:val="007A2E7C"/>
    <w:rsid w:val="007A4765"/>
    <w:rsid w:val="007A60BE"/>
    <w:rsid w:val="007B0E41"/>
    <w:rsid w:val="007B355D"/>
    <w:rsid w:val="007C2EC9"/>
    <w:rsid w:val="007C53B7"/>
    <w:rsid w:val="007D4347"/>
    <w:rsid w:val="007D7EF7"/>
    <w:rsid w:val="007E2D2E"/>
    <w:rsid w:val="007E6976"/>
    <w:rsid w:val="007E707F"/>
    <w:rsid w:val="007F021C"/>
    <w:rsid w:val="007F1607"/>
    <w:rsid w:val="007F3363"/>
    <w:rsid w:val="007F456B"/>
    <w:rsid w:val="008003FF"/>
    <w:rsid w:val="008028F4"/>
    <w:rsid w:val="00802FA2"/>
    <w:rsid w:val="0080539D"/>
    <w:rsid w:val="008065DB"/>
    <w:rsid w:val="00806F59"/>
    <w:rsid w:val="00810575"/>
    <w:rsid w:val="00812D13"/>
    <w:rsid w:val="00813C01"/>
    <w:rsid w:val="00816225"/>
    <w:rsid w:val="0081757F"/>
    <w:rsid w:val="00830659"/>
    <w:rsid w:val="0083267A"/>
    <w:rsid w:val="008328B6"/>
    <w:rsid w:val="00837C85"/>
    <w:rsid w:val="00837D47"/>
    <w:rsid w:val="00840BBD"/>
    <w:rsid w:val="00840DB5"/>
    <w:rsid w:val="0085018D"/>
    <w:rsid w:val="008605A0"/>
    <w:rsid w:val="008646B1"/>
    <w:rsid w:val="00865762"/>
    <w:rsid w:val="00866E36"/>
    <w:rsid w:val="00870A00"/>
    <w:rsid w:val="008723B5"/>
    <w:rsid w:val="00872E0A"/>
    <w:rsid w:val="00873EBF"/>
    <w:rsid w:val="00874E55"/>
    <w:rsid w:val="00877204"/>
    <w:rsid w:val="008773D7"/>
    <w:rsid w:val="00877B5D"/>
    <w:rsid w:val="00880531"/>
    <w:rsid w:val="00880BA6"/>
    <w:rsid w:val="008875CA"/>
    <w:rsid w:val="00887B92"/>
    <w:rsid w:val="00891646"/>
    <w:rsid w:val="008A084B"/>
    <w:rsid w:val="008A557D"/>
    <w:rsid w:val="008A5671"/>
    <w:rsid w:val="008A709A"/>
    <w:rsid w:val="008A72D4"/>
    <w:rsid w:val="008B066E"/>
    <w:rsid w:val="008B0DBF"/>
    <w:rsid w:val="008B2B87"/>
    <w:rsid w:val="008B449A"/>
    <w:rsid w:val="008B4D23"/>
    <w:rsid w:val="008B5C5C"/>
    <w:rsid w:val="008B6196"/>
    <w:rsid w:val="008C16E1"/>
    <w:rsid w:val="008C2218"/>
    <w:rsid w:val="008C24B8"/>
    <w:rsid w:val="008C2EF1"/>
    <w:rsid w:val="008C2F98"/>
    <w:rsid w:val="008C486B"/>
    <w:rsid w:val="008C6C97"/>
    <w:rsid w:val="008C72EC"/>
    <w:rsid w:val="008D0FB2"/>
    <w:rsid w:val="008D1C41"/>
    <w:rsid w:val="008D4973"/>
    <w:rsid w:val="008D58F8"/>
    <w:rsid w:val="008E0806"/>
    <w:rsid w:val="008E2F74"/>
    <w:rsid w:val="008F08FC"/>
    <w:rsid w:val="008F1A35"/>
    <w:rsid w:val="008F2E7D"/>
    <w:rsid w:val="008F3084"/>
    <w:rsid w:val="008F5EAF"/>
    <w:rsid w:val="008F7029"/>
    <w:rsid w:val="00900609"/>
    <w:rsid w:val="00901AF6"/>
    <w:rsid w:val="00902C7F"/>
    <w:rsid w:val="009055A7"/>
    <w:rsid w:val="00906A5B"/>
    <w:rsid w:val="00907A7E"/>
    <w:rsid w:val="00910FD2"/>
    <w:rsid w:val="009130E5"/>
    <w:rsid w:val="00915229"/>
    <w:rsid w:val="00917249"/>
    <w:rsid w:val="00917B14"/>
    <w:rsid w:val="00921EAF"/>
    <w:rsid w:val="00922049"/>
    <w:rsid w:val="00924CA2"/>
    <w:rsid w:val="009251BF"/>
    <w:rsid w:val="00934755"/>
    <w:rsid w:val="0093638A"/>
    <w:rsid w:val="0093689F"/>
    <w:rsid w:val="00936E69"/>
    <w:rsid w:val="0093703C"/>
    <w:rsid w:val="0093703E"/>
    <w:rsid w:val="009400BF"/>
    <w:rsid w:val="0094032E"/>
    <w:rsid w:val="00940DCE"/>
    <w:rsid w:val="009421E8"/>
    <w:rsid w:val="00943636"/>
    <w:rsid w:val="009445A5"/>
    <w:rsid w:val="009473EB"/>
    <w:rsid w:val="00951A3C"/>
    <w:rsid w:val="00952337"/>
    <w:rsid w:val="00953958"/>
    <w:rsid w:val="009540EE"/>
    <w:rsid w:val="009548AA"/>
    <w:rsid w:val="00954FB4"/>
    <w:rsid w:val="00955F25"/>
    <w:rsid w:val="00960183"/>
    <w:rsid w:val="00960886"/>
    <w:rsid w:val="00965921"/>
    <w:rsid w:val="00974921"/>
    <w:rsid w:val="00974C84"/>
    <w:rsid w:val="00974D82"/>
    <w:rsid w:val="00975033"/>
    <w:rsid w:val="0097731A"/>
    <w:rsid w:val="00977FF9"/>
    <w:rsid w:val="00980CF6"/>
    <w:rsid w:val="00985DA2"/>
    <w:rsid w:val="00985F0B"/>
    <w:rsid w:val="009862F1"/>
    <w:rsid w:val="00987CD0"/>
    <w:rsid w:val="00990A80"/>
    <w:rsid w:val="00992576"/>
    <w:rsid w:val="009A1F1A"/>
    <w:rsid w:val="009A2416"/>
    <w:rsid w:val="009A24FA"/>
    <w:rsid w:val="009A2BF2"/>
    <w:rsid w:val="009A2FEE"/>
    <w:rsid w:val="009A366E"/>
    <w:rsid w:val="009A764C"/>
    <w:rsid w:val="009A7D23"/>
    <w:rsid w:val="009B2C4C"/>
    <w:rsid w:val="009B45D9"/>
    <w:rsid w:val="009B6B6F"/>
    <w:rsid w:val="009B7068"/>
    <w:rsid w:val="009C1F2E"/>
    <w:rsid w:val="009C318E"/>
    <w:rsid w:val="009C4E51"/>
    <w:rsid w:val="009C6DCD"/>
    <w:rsid w:val="009D48EC"/>
    <w:rsid w:val="009D4B34"/>
    <w:rsid w:val="009D5AEF"/>
    <w:rsid w:val="009D5DCD"/>
    <w:rsid w:val="009D78F3"/>
    <w:rsid w:val="009D7FBF"/>
    <w:rsid w:val="009E1B3F"/>
    <w:rsid w:val="009E26A8"/>
    <w:rsid w:val="009F1B15"/>
    <w:rsid w:val="009F30D8"/>
    <w:rsid w:val="009F6B04"/>
    <w:rsid w:val="009F6C1C"/>
    <w:rsid w:val="00A01170"/>
    <w:rsid w:val="00A02226"/>
    <w:rsid w:val="00A02DA2"/>
    <w:rsid w:val="00A074CD"/>
    <w:rsid w:val="00A12A84"/>
    <w:rsid w:val="00A12E41"/>
    <w:rsid w:val="00A1585A"/>
    <w:rsid w:val="00A2135A"/>
    <w:rsid w:val="00A26124"/>
    <w:rsid w:val="00A276A9"/>
    <w:rsid w:val="00A27771"/>
    <w:rsid w:val="00A30240"/>
    <w:rsid w:val="00A30955"/>
    <w:rsid w:val="00A30CEC"/>
    <w:rsid w:val="00A33A83"/>
    <w:rsid w:val="00A37271"/>
    <w:rsid w:val="00A40401"/>
    <w:rsid w:val="00A4557E"/>
    <w:rsid w:val="00A4782F"/>
    <w:rsid w:val="00A47FD6"/>
    <w:rsid w:val="00A52368"/>
    <w:rsid w:val="00A53DEF"/>
    <w:rsid w:val="00A5504F"/>
    <w:rsid w:val="00A63354"/>
    <w:rsid w:val="00A6417D"/>
    <w:rsid w:val="00A66456"/>
    <w:rsid w:val="00A66AD3"/>
    <w:rsid w:val="00A67C02"/>
    <w:rsid w:val="00A72AB9"/>
    <w:rsid w:val="00A7675E"/>
    <w:rsid w:val="00A76B29"/>
    <w:rsid w:val="00A77F86"/>
    <w:rsid w:val="00A92B66"/>
    <w:rsid w:val="00AA5AD9"/>
    <w:rsid w:val="00AA6F46"/>
    <w:rsid w:val="00AB1329"/>
    <w:rsid w:val="00AB489C"/>
    <w:rsid w:val="00AB4C69"/>
    <w:rsid w:val="00AB609F"/>
    <w:rsid w:val="00AC0752"/>
    <w:rsid w:val="00AC33EF"/>
    <w:rsid w:val="00AC5336"/>
    <w:rsid w:val="00AC71AF"/>
    <w:rsid w:val="00AC7312"/>
    <w:rsid w:val="00AD1AF6"/>
    <w:rsid w:val="00AD4C50"/>
    <w:rsid w:val="00AD56FA"/>
    <w:rsid w:val="00AD575E"/>
    <w:rsid w:val="00AD7393"/>
    <w:rsid w:val="00AD7C54"/>
    <w:rsid w:val="00AE4B22"/>
    <w:rsid w:val="00AE77C7"/>
    <w:rsid w:val="00AF32F6"/>
    <w:rsid w:val="00AF33ED"/>
    <w:rsid w:val="00AF392E"/>
    <w:rsid w:val="00AF530E"/>
    <w:rsid w:val="00AF5612"/>
    <w:rsid w:val="00B007F0"/>
    <w:rsid w:val="00B01F74"/>
    <w:rsid w:val="00B05700"/>
    <w:rsid w:val="00B062E8"/>
    <w:rsid w:val="00B065B8"/>
    <w:rsid w:val="00B1161A"/>
    <w:rsid w:val="00B237F9"/>
    <w:rsid w:val="00B24392"/>
    <w:rsid w:val="00B25EEE"/>
    <w:rsid w:val="00B27DBB"/>
    <w:rsid w:val="00B27DC1"/>
    <w:rsid w:val="00B30721"/>
    <w:rsid w:val="00B32077"/>
    <w:rsid w:val="00B32779"/>
    <w:rsid w:val="00B32928"/>
    <w:rsid w:val="00B352F5"/>
    <w:rsid w:val="00B359C2"/>
    <w:rsid w:val="00B412F4"/>
    <w:rsid w:val="00B4415D"/>
    <w:rsid w:val="00B4636F"/>
    <w:rsid w:val="00B52CCF"/>
    <w:rsid w:val="00B5425F"/>
    <w:rsid w:val="00B55E31"/>
    <w:rsid w:val="00B629C7"/>
    <w:rsid w:val="00B6366A"/>
    <w:rsid w:val="00B643ED"/>
    <w:rsid w:val="00B71288"/>
    <w:rsid w:val="00B71648"/>
    <w:rsid w:val="00B75567"/>
    <w:rsid w:val="00B7563D"/>
    <w:rsid w:val="00B75F91"/>
    <w:rsid w:val="00B76999"/>
    <w:rsid w:val="00B769FE"/>
    <w:rsid w:val="00B80150"/>
    <w:rsid w:val="00B81FF6"/>
    <w:rsid w:val="00B823FF"/>
    <w:rsid w:val="00B8676E"/>
    <w:rsid w:val="00B906BB"/>
    <w:rsid w:val="00B90E6B"/>
    <w:rsid w:val="00B9343C"/>
    <w:rsid w:val="00B93ADB"/>
    <w:rsid w:val="00B957BF"/>
    <w:rsid w:val="00B9619B"/>
    <w:rsid w:val="00B96CFC"/>
    <w:rsid w:val="00BA0B32"/>
    <w:rsid w:val="00BA0EF2"/>
    <w:rsid w:val="00BA273A"/>
    <w:rsid w:val="00BA349F"/>
    <w:rsid w:val="00BA47E0"/>
    <w:rsid w:val="00BA4E55"/>
    <w:rsid w:val="00BA51CF"/>
    <w:rsid w:val="00BB629B"/>
    <w:rsid w:val="00BC419E"/>
    <w:rsid w:val="00BC5BB5"/>
    <w:rsid w:val="00BC7CFD"/>
    <w:rsid w:val="00BD1482"/>
    <w:rsid w:val="00BD72D4"/>
    <w:rsid w:val="00BD7D83"/>
    <w:rsid w:val="00BE2A32"/>
    <w:rsid w:val="00BE792C"/>
    <w:rsid w:val="00C00405"/>
    <w:rsid w:val="00C00F3A"/>
    <w:rsid w:val="00C046FA"/>
    <w:rsid w:val="00C07C48"/>
    <w:rsid w:val="00C103A3"/>
    <w:rsid w:val="00C11B11"/>
    <w:rsid w:val="00C11B46"/>
    <w:rsid w:val="00C1652D"/>
    <w:rsid w:val="00C16D40"/>
    <w:rsid w:val="00C1719F"/>
    <w:rsid w:val="00C2179E"/>
    <w:rsid w:val="00C22DB7"/>
    <w:rsid w:val="00C25248"/>
    <w:rsid w:val="00C30C93"/>
    <w:rsid w:val="00C31731"/>
    <w:rsid w:val="00C335DA"/>
    <w:rsid w:val="00C35CA8"/>
    <w:rsid w:val="00C37B14"/>
    <w:rsid w:val="00C37D51"/>
    <w:rsid w:val="00C41694"/>
    <w:rsid w:val="00C500F8"/>
    <w:rsid w:val="00C507B4"/>
    <w:rsid w:val="00C51904"/>
    <w:rsid w:val="00C621C0"/>
    <w:rsid w:val="00C65E09"/>
    <w:rsid w:val="00C66031"/>
    <w:rsid w:val="00C73CDD"/>
    <w:rsid w:val="00C73F03"/>
    <w:rsid w:val="00C74179"/>
    <w:rsid w:val="00C746B3"/>
    <w:rsid w:val="00C7756A"/>
    <w:rsid w:val="00C81178"/>
    <w:rsid w:val="00C82CB8"/>
    <w:rsid w:val="00C85C5D"/>
    <w:rsid w:val="00C85DCB"/>
    <w:rsid w:val="00C867F2"/>
    <w:rsid w:val="00C86B7E"/>
    <w:rsid w:val="00C86FAB"/>
    <w:rsid w:val="00C8788E"/>
    <w:rsid w:val="00C87ACF"/>
    <w:rsid w:val="00C95A59"/>
    <w:rsid w:val="00CA1069"/>
    <w:rsid w:val="00CA2D76"/>
    <w:rsid w:val="00CA34D4"/>
    <w:rsid w:val="00CA3AD6"/>
    <w:rsid w:val="00CA3EA4"/>
    <w:rsid w:val="00CA3FDF"/>
    <w:rsid w:val="00CA522F"/>
    <w:rsid w:val="00CA69D7"/>
    <w:rsid w:val="00CB27EE"/>
    <w:rsid w:val="00CC0547"/>
    <w:rsid w:val="00CC5049"/>
    <w:rsid w:val="00CC5423"/>
    <w:rsid w:val="00CC68FB"/>
    <w:rsid w:val="00CD0F9E"/>
    <w:rsid w:val="00CD154A"/>
    <w:rsid w:val="00CD36AF"/>
    <w:rsid w:val="00CD429B"/>
    <w:rsid w:val="00CE1161"/>
    <w:rsid w:val="00CE45DA"/>
    <w:rsid w:val="00CE58F4"/>
    <w:rsid w:val="00CE65C4"/>
    <w:rsid w:val="00CE7845"/>
    <w:rsid w:val="00CF33FA"/>
    <w:rsid w:val="00D01916"/>
    <w:rsid w:val="00D05624"/>
    <w:rsid w:val="00D103CF"/>
    <w:rsid w:val="00D11309"/>
    <w:rsid w:val="00D11556"/>
    <w:rsid w:val="00D1289F"/>
    <w:rsid w:val="00D12EC4"/>
    <w:rsid w:val="00D13C59"/>
    <w:rsid w:val="00D13D78"/>
    <w:rsid w:val="00D1442C"/>
    <w:rsid w:val="00D170E9"/>
    <w:rsid w:val="00D179E6"/>
    <w:rsid w:val="00D2050A"/>
    <w:rsid w:val="00D246A9"/>
    <w:rsid w:val="00D25234"/>
    <w:rsid w:val="00D26AAD"/>
    <w:rsid w:val="00D30191"/>
    <w:rsid w:val="00D31C87"/>
    <w:rsid w:val="00D32062"/>
    <w:rsid w:val="00D33621"/>
    <w:rsid w:val="00D35748"/>
    <w:rsid w:val="00D42F10"/>
    <w:rsid w:val="00D45292"/>
    <w:rsid w:val="00D507AC"/>
    <w:rsid w:val="00D51D1A"/>
    <w:rsid w:val="00D541B3"/>
    <w:rsid w:val="00D56F2D"/>
    <w:rsid w:val="00D618F7"/>
    <w:rsid w:val="00D63A16"/>
    <w:rsid w:val="00D63D81"/>
    <w:rsid w:val="00D71C9F"/>
    <w:rsid w:val="00D746F4"/>
    <w:rsid w:val="00D76255"/>
    <w:rsid w:val="00D778C6"/>
    <w:rsid w:val="00D8597A"/>
    <w:rsid w:val="00D8648A"/>
    <w:rsid w:val="00D95FCE"/>
    <w:rsid w:val="00D97255"/>
    <w:rsid w:val="00DA34F0"/>
    <w:rsid w:val="00DA5E81"/>
    <w:rsid w:val="00DB0356"/>
    <w:rsid w:val="00DB2154"/>
    <w:rsid w:val="00DB6850"/>
    <w:rsid w:val="00DB6EBB"/>
    <w:rsid w:val="00DB77AF"/>
    <w:rsid w:val="00DB7A0F"/>
    <w:rsid w:val="00DC055D"/>
    <w:rsid w:val="00DC06B8"/>
    <w:rsid w:val="00DC43D0"/>
    <w:rsid w:val="00DC5E14"/>
    <w:rsid w:val="00DD097A"/>
    <w:rsid w:val="00DD6DF9"/>
    <w:rsid w:val="00DE1A75"/>
    <w:rsid w:val="00DE30FB"/>
    <w:rsid w:val="00DE3C1A"/>
    <w:rsid w:val="00DF1803"/>
    <w:rsid w:val="00DF2F3E"/>
    <w:rsid w:val="00E002BC"/>
    <w:rsid w:val="00E038F0"/>
    <w:rsid w:val="00E03974"/>
    <w:rsid w:val="00E05B44"/>
    <w:rsid w:val="00E06311"/>
    <w:rsid w:val="00E0750B"/>
    <w:rsid w:val="00E102D9"/>
    <w:rsid w:val="00E10D5B"/>
    <w:rsid w:val="00E1299C"/>
    <w:rsid w:val="00E131C7"/>
    <w:rsid w:val="00E14545"/>
    <w:rsid w:val="00E14E3C"/>
    <w:rsid w:val="00E21D81"/>
    <w:rsid w:val="00E22997"/>
    <w:rsid w:val="00E24873"/>
    <w:rsid w:val="00E253C7"/>
    <w:rsid w:val="00E2598A"/>
    <w:rsid w:val="00E304C2"/>
    <w:rsid w:val="00E3272E"/>
    <w:rsid w:val="00E3503E"/>
    <w:rsid w:val="00E3624E"/>
    <w:rsid w:val="00E419CA"/>
    <w:rsid w:val="00E438CC"/>
    <w:rsid w:val="00E43D96"/>
    <w:rsid w:val="00E44126"/>
    <w:rsid w:val="00E47EEF"/>
    <w:rsid w:val="00E50428"/>
    <w:rsid w:val="00E504BC"/>
    <w:rsid w:val="00E50977"/>
    <w:rsid w:val="00E509C0"/>
    <w:rsid w:val="00E510BA"/>
    <w:rsid w:val="00E5149F"/>
    <w:rsid w:val="00E57C0E"/>
    <w:rsid w:val="00E618D9"/>
    <w:rsid w:val="00E65687"/>
    <w:rsid w:val="00E720DF"/>
    <w:rsid w:val="00E73093"/>
    <w:rsid w:val="00E73503"/>
    <w:rsid w:val="00E7461A"/>
    <w:rsid w:val="00E7536E"/>
    <w:rsid w:val="00E7689E"/>
    <w:rsid w:val="00E82866"/>
    <w:rsid w:val="00E865A2"/>
    <w:rsid w:val="00E86AE4"/>
    <w:rsid w:val="00E86D30"/>
    <w:rsid w:val="00E9122B"/>
    <w:rsid w:val="00E93F9E"/>
    <w:rsid w:val="00E95916"/>
    <w:rsid w:val="00E9593A"/>
    <w:rsid w:val="00E95CC6"/>
    <w:rsid w:val="00EA00D9"/>
    <w:rsid w:val="00EA16D7"/>
    <w:rsid w:val="00EA2AA0"/>
    <w:rsid w:val="00EA5BF3"/>
    <w:rsid w:val="00EB0C67"/>
    <w:rsid w:val="00EB2E41"/>
    <w:rsid w:val="00EB369C"/>
    <w:rsid w:val="00EB3A27"/>
    <w:rsid w:val="00EB7EE7"/>
    <w:rsid w:val="00EC0ABC"/>
    <w:rsid w:val="00EC5D55"/>
    <w:rsid w:val="00EC6747"/>
    <w:rsid w:val="00ED1A7E"/>
    <w:rsid w:val="00ED34D5"/>
    <w:rsid w:val="00ED3598"/>
    <w:rsid w:val="00ED59C8"/>
    <w:rsid w:val="00ED68F7"/>
    <w:rsid w:val="00ED7768"/>
    <w:rsid w:val="00EE2482"/>
    <w:rsid w:val="00EE576B"/>
    <w:rsid w:val="00EE5BE0"/>
    <w:rsid w:val="00EE5CDE"/>
    <w:rsid w:val="00EE78CB"/>
    <w:rsid w:val="00EF2EB9"/>
    <w:rsid w:val="00EF4571"/>
    <w:rsid w:val="00EF5161"/>
    <w:rsid w:val="00EF5693"/>
    <w:rsid w:val="00EF7347"/>
    <w:rsid w:val="00F03151"/>
    <w:rsid w:val="00F11D5E"/>
    <w:rsid w:val="00F12EA0"/>
    <w:rsid w:val="00F149E7"/>
    <w:rsid w:val="00F14CFE"/>
    <w:rsid w:val="00F15CAB"/>
    <w:rsid w:val="00F16117"/>
    <w:rsid w:val="00F163E5"/>
    <w:rsid w:val="00F2013C"/>
    <w:rsid w:val="00F228C4"/>
    <w:rsid w:val="00F23277"/>
    <w:rsid w:val="00F2421A"/>
    <w:rsid w:val="00F2573E"/>
    <w:rsid w:val="00F26E58"/>
    <w:rsid w:val="00F2779A"/>
    <w:rsid w:val="00F30FBA"/>
    <w:rsid w:val="00F31A56"/>
    <w:rsid w:val="00F32C59"/>
    <w:rsid w:val="00F33771"/>
    <w:rsid w:val="00F363D3"/>
    <w:rsid w:val="00F36E76"/>
    <w:rsid w:val="00F440CA"/>
    <w:rsid w:val="00F456F9"/>
    <w:rsid w:val="00F52081"/>
    <w:rsid w:val="00F5277C"/>
    <w:rsid w:val="00F66007"/>
    <w:rsid w:val="00F66460"/>
    <w:rsid w:val="00F67BE9"/>
    <w:rsid w:val="00F67FA1"/>
    <w:rsid w:val="00F766AA"/>
    <w:rsid w:val="00F777BE"/>
    <w:rsid w:val="00F77C42"/>
    <w:rsid w:val="00F824AE"/>
    <w:rsid w:val="00F827A1"/>
    <w:rsid w:val="00F83B62"/>
    <w:rsid w:val="00F84367"/>
    <w:rsid w:val="00F879BB"/>
    <w:rsid w:val="00F879EC"/>
    <w:rsid w:val="00F9114D"/>
    <w:rsid w:val="00F916AE"/>
    <w:rsid w:val="00F94261"/>
    <w:rsid w:val="00F94F53"/>
    <w:rsid w:val="00F965DA"/>
    <w:rsid w:val="00F97FDE"/>
    <w:rsid w:val="00FB0B1C"/>
    <w:rsid w:val="00FB240C"/>
    <w:rsid w:val="00FB45D1"/>
    <w:rsid w:val="00FB4E11"/>
    <w:rsid w:val="00FB7786"/>
    <w:rsid w:val="00FB779B"/>
    <w:rsid w:val="00FC042D"/>
    <w:rsid w:val="00FC2A0D"/>
    <w:rsid w:val="00FC463B"/>
    <w:rsid w:val="00FC49F7"/>
    <w:rsid w:val="00FC70FF"/>
    <w:rsid w:val="00FD0922"/>
    <w:rsid w:val="00FD3907"/>
    <w:rsid w:val="00FD3CC5"/>
    <w:rsid w:val="00FD49EA"/>
    <w:rsid w:val="00FD5F10"/>
    <w:rsid w:val="00FD6A07"/>
    <w:rsid w:val="00FE071A"/>
    <w:rsid w:val="00FE1497"/>
    <w:rsid w:val="00FE75CB"/>
    <w:rsid w:val="00FF2F26"/>
    <w:rsid w:val="00FF34FB"/>
    <w:rsid w:val="00FF3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28F0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qFormat/>
    <w:rsid w:val="00C507B4"/>
    <w:pPr>
      <w:keepNext/>
      <w:spacing w:before="120" w:after="120"/>
      <w:ind w:left="425" w:hanging="425"/>
      <w:jc w:val="both"/>
      <w:outlineLvl w:val="1"/>
    </w:pPr>
    <w:rPr>
      <w:rFonts w:cs="Arial"/>
      <w:b/>
      <w:bCs/>
      <w:iCs/>
    </w:rPr>
  </w:style>
  <w:style w:type="paragraph" w:styleId="berschrift5">
    <w:name w:val="heading 5"/>
    <w:basedOn w:val="Standard"/>
    <w:next w:val="Standard"/>
    <w:qFormat/>
    <w:rsid w:val="00CA69D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7511C"/>
    <w:pPr>
      <w:tabs>
        <w:tab w:val="center" w:pos="4536"/>
        <w:tab w:val="right" w:pos="9072"/>
      </w:tabs>
    </w:pPr>
  </w:style>
  <w:style w:type="character" w:styleId="Seitenzahl">
    <w:name w:val="page number"/>
    <w:basedOn w:val="Absatz-Standardschriftart"/>
    <w:rsid w:val="0037511C"/>
  </w:style>
  <w:style w:type="paragraph" w:styleId="Sprechblasentext">
    <w:name w:val="Balloon Text"/>
    <w:basedOn w:val="Standard"/>
    <w:semiHidden/>
    <w:rsid w:val="0056546D"/>
    <w:rPr>
      <w:rFonts w:ascii="Tahoma" w:hAnsi="Tahoma" w:cs="Tahoma"/>
      <w:sz w:val="16"/>
      <w:szCs w:val="16"/>
    </w:rPr>
  </w:style>
  <w:style w:type="paragraph" w:customStyle="1" w:styleId="Default">
    <w:name w:val="Default"/>
    <w:rsid w:val="00C87ACF"/>
    <w:pPr>
      <w:autoSpaceDE w:val="0"/>
      <w:autoSpaceDN w:val="0"/>
      <w:adjustRightInd w:val="0"/>
    </w:pPr>
    <w:rPr>
      <w:rFonts w:ascii="Arial" w:hAnsi="Arial" w:cs="Arial"/>
      <w:color w:val="000000"/>
      <w:sz w:val="24"/>
      <w:szCs w:val="24"/>
    </w:rPr>
  </w:style>
  <w:style w:type="paragraph" w:customStyle="1" w:styleId="fn">
    <w:name w:val="fn"/>
    <w:basedOn w:val="Standard"/>
    <w:rsid w:val="00F777BE"/>
    <w:pPr>
      <w:spacing w:before="100" w:beforeAutospacing="1" w:after="100" w:afterAutospacing="1"/>
    </w:pPr>
    <w:rPr>
      <w:rFonts w:cs="Arial"/>
    </w:rPr>
  </w:style>
  <w:style w:type="table" w:styleId="Tabellenraster">
    <w:name w:val="Table Grid"/>
    <w:basedOn w:val="NormaleTabelle"/>
    <w:rsid w:val="0018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llgruppe-num1">
    <w:name w:val="fallgruppe-num1"/>
    <w:rsid w:val="00DC5E14"/>
    <w:rPr>
      <w:rFonts w:ascii="Arial" w:hAnsi="Arial" w:cs="Arial" w:hint="default"/>
      <w:b/>
      <w:bCs/>
      <w:vanish w:val="0"/>
      <w:webHidden w:val="0"/>
      <w:color w:val="000000"/>
      <w:sz w:val="24"/>
      <w:szCs w:val="24"/>
      <w:specVanish w:val="0"/>
    </w:rPr>
  </w:style>
  <w:style w:type="paragraph" w:customStyle="1" w:styleId="Textkrper31">
    <w:name w:val="Textkörper 31"/>
    <w:basedOn w:val="Standard"/>
    <w:rsid w:val="004658A6"/>
    <w:pPr>
      <w:widowControl w:val="0"/>
      <w:jc w:val="both"/>
    </w:pPr>
    <w:rPr>
      <w:szCs w:val="20"/>
    </w:rPr>
  </w:style>
  <w:style w:type="character" w:customStyle="1" w:styleId="KopfzeileZchn">
    <w:name w:val="Kopfzeile Zchn"/>
    <w:link w:val="Kopfzeile"/>
    <w:uiPriority w:val="99"/>
    <w:rsid w:val="004658A6"/>
    <w:rPr>
      <w:rFonts w:ascii="Arial" w:hAnsi="Arial"/>
      <w:sz w:val="24"/>
      <w:szCs w:val="24"/>
      <w:lang w:val="de-DE" w:eastAsia="de-DE" w:bidi="ar-SA"/>
    </w:rPr>
  </w:style>
  <w:style w:type="paragraph" w:styleId="Fuzeile">
    <w:name w:val="footer"/>
    <w:basedOn w:val="Standard"/>
    <w:rsid w:val="00C85DCB"/>
    <w:pPr>
      <w:tabs>
        <w:tab w:val="center" w:pos="4536"/>
        <w:tab w:val="right" w:pos="9072"/>
      </w:tabs>
    </w:pPr>
  </w:style>
  <w:style w:type="character" w:customStyle="1" w:styleId="ueberschriftproterkl">
    <w:name w:val="ueberschriftproterkl"/>
    <w:basedOn w:val="Absatz-Standardschriftart"/>
    <w:rsid w:val="00977FF9"/>
  </w:style>
  <w:style w:type="character" w:customStyle="1" w:styleId="prottext">
    <w:name w:val="prottext"/>
    <w:basedOn w:val="Absatz-Standardschriftart"/>
    <w:rsid w:val="00977FF9"/>
  </w:style>
  <w:style w:type="character" w:styleId="Kommentarzeichen">
    <w:name w:val="annotation reference"/>
    <w:semiHidden/>
    <w:rsid w:val="00257213"/>
    <w:rPr>
      <w:sz w:val="16"/>
      <w:szCs w:val="16"/>
    </w:rPr>
  </w:style>
  <w:style w:type="paragraph" w:styleId="Kommentartext">
    <w:name w:val="annotation text"/>
    <w:basedOn w:val="Standard"/>
    <w:semiHidden/>
    <w:rsid w:val="00257213"/>
    <w:rPr>
      <w:sz w:val="20"/>
      <w:szCs w:val="20"/>
    </w:rPr>
  </w:style>
  <w:style w:type="paragraph" w:styleId="Kommentarthema">
    <w:name w:val="annotation subject"/>
    <w:basedOn w:val="Kommentartext"/>
    <w:next w:val="Kommentartext"/>
    <w:semiHidden/>
    <w:rsid w:val="00257213"/>
    <w:rPr>
      <w:b/>
      <w:bCs/>
    </w:rPr>
  </w:style>
  <w:style w:type="paragraph" w:styleId="StandardWeb">
    <w:name w:val="Normal (Web)"/>
    <w:basedOn w:val="Standard"/>
    <w:rsid w:val="003406E1"/>
    <w:pPr>
      <w:spacing w:before="100" w:beforeAutospacing="1" w:after="100" w:afterAutospacing="1"/>
    </w:pPr>
    <w:rPr>
      <w:rFonts w:ascii="Times New Roman" w:hAnsi="Times New Roman"/>
    </w:rPr>
  </w:style>
  <w:style w:type="paragraph" w:customStyle="1" w:styleId="Tarifvertragstext">
    <w:name w:val="Tarifvertragstext"/>
    <w:basedOn w:val="Standard"/>
    <w:link w:val="TarifvertragstextChar"/>
    <w:rsid w:val="001F6EB7"/>
    <w:pPr>
      <w:tabs>
        <w:tab w:val="left" w:pos="567"/>
        <w:tab w:val="left" w:pos="1134"/>
        <w:tab w:val="left" w:pos="1701"/>
      </w:tabs>
      <w:spacing w:before="240" w:line="360" w:lineRule="atLeast"/>
      <w:ind w:left="567" w:hanging="567"/>
      <w:jc w:val="both"/>
    </w:pPr>
    <w:rPr>
      <w:szCs w:val="20"/>
      <w:lang w:val="x-none" w:eastAsia="x-none"/>
    </w:rPr>
  </w:style>
  <w:style w:type="character" w:customStyle="1" w:styleId="TarifvertragstextChar">
    <w:name w:val="Tarifvertragstext Char"/>
    <w:link w:val="Tarifvertragstext"/>
    <w:rsid w:val="001F6EB7"/>
    <w:rPr>
      <w:rFonts w:ascii="Arial" w:hAnsi="Arial"/>
      <w:sz w:val="24"/>
      <w:lang w:val="x-none" w:eastAsia="x-none" w:bidi="ar-SA"/>
    </w:rPr>
  </w:style>
  <w:style w:type="paragraph" w:customStyle="1" w:styleId="Textkrper310">
    <w:name w:val="Textkörper 31"/>
    <w:basedOn w:val="Standard"/>
    <w:rsid w:val="001F6EB7"/>
    <w:pPr>
      <w:widowControl w:val="0"/>
      <w:jc w:val="both"/>
    </w:pPr>
    <w:rPr>
      <w:szCs w:val="20"/>
    </w:rPr>
  </w:style>
  <w:style w:type="paragraph" w:styleId="Listenabsatz">
    <w:name w:val="List Paragraph"/>
    <w:basedOn w:val="Standard"/>
    <w:uiPriority w:val="34"/>
    <w:qFormat/>
    <w:rsid w:val="006E1419"/>
    <w:pPr>
      <w:spacing w:before="120" w:after="120"/>
      <w:ind w:left="720"/>
      <w:contextualSpacing/>
    </w:pPr>
    <w:rPr>
      <w:rFonts w:eastAsia="Calibri" w:cs="Arial"/>
      <w:lang w:eastAsia="en-US"/>
    </w:rPr>
  </w:style>
  <w:style w:type="paragraph" w:styleId="berarbeitung">
    <w:name w:val="Revision"/>
    <w:hidden/>
    <w:uiPriority w:val="99"/>
    <w:semiHidden/>
    <w:rsid w:val="00C35CA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653">
      <w:bodyDiv w:val="1"/>
      <w:marLeft w:val="0"/>
      <w:marRight w:val="0"/>
      <w:marTop w:val="0"/>
      <w:marBottom w:val="0"/>
      <w:divBdr>
        <w:top w:val="none" w:sz="0" w:space="0" w:color="auto"/>
        <w:left w:val="none" w:sz="0" w:space="0" w:color="auto"/>
        <w:bottom w:val="none" w:sz="0" w:space="0" w:color="auto"/>
        <w:right w:val="none" w:sz="0" w:space="0" w:color="auto"/>
      </w:divBdr>
    </w:div>
    <w:div w:id="537083376">
      <w:bodyDiv w:val="1"/>
      <w:marLeft w:val="0"/>
      <w:marRight w:val="0"/>
      <w:marTop w:val="0"/>
      <w:marBottom w:val="0"/>
      <w:divBdr>
        <w:top w:val="none" w:sz="0" w:space="0" w:color="auto"/>
        <w:left w:val="none" w:sz="0" w:space="0" w:color="auto"/>
        <w:bottom w:val="none" w:sz="0" w:space="0" w:color="auto"/>
        <w:right w:val="none" w:sz="0" w:space="0" w:color="auto"/>
      </w:divBdr>
      <w:divsChild>
        <w:div w:id="995961456">
          <w:marLeft w:val="0"/>
          <w:marRight w:val="0"/>
          <w:marTop w:val="0"/>
          <w:marBottom w:val="0"/>
          <w:divBdr>
            <w:top w:val="none" w:sz="0" w:space="0" w:color="auto"/>
            <w:left w:val="none" w:sz="0" w:space="0" w:color="auto"/>
            <w:bottom w:val="none" w:sz="0" w:space="0" w:color="auto"/>
            <w:right w:val="none" w:sz="0" w:space="0" w:color="auto"/>
          </w:divBdr>
        </w:div>
      </w:divsChild>
    </w:div>
    <w:div w:id="1214922910">
      <w:bodyDiv w:val="1"/>
      <w:marLeft w:val="0"/>
      <w:marRight w:val="0"/>
      <w:marTop w:val="0"/>
      <w:marBottom w:val="0"/>
      <w:divBdr>
        <w:top w:val="none" w:sz="0" w:space="0" w:color="auto"/>
        <w:left w:val="none" w:sz="0" w:space="0" w:color="auto"/>
        <w:bottom w:val="none" w:sz="0" w:space="0" w:color="auto"/>
        <w:right w:val="none" w:sz="0" w:space="0" w:color="auto"/>
      </w:divBdr>
    </w:div>
    <w:div w:id="1693066392">
      <w:bodyDiv w:val="1"/>
      <w:marLeft w:val="0"/>
      <w:marRight w:val="0"/>
      <w:marTop w:val="0"/>
      <w:marBottom w:val="0"/>
      <w:divBdr>
        <w:top w:val="none" w:sz="0" w:space="0" w:color="auto"/>
        <w:left w:val="none" w:sz="0" w:space="0" w:color="auto"/>
        <w:bottom w:val="none" w:sz="0" w:space="0" w:color="auto"/>
        <w:right w:val="none" w:sz="0" w:space="0" w:color="auto"/>
      </w:divBdr>
    </w:div>
    <w:div w:id="1709141213">
      <w:bodyDiv w:val="1"/>
      <w:marLeft w:val="0"/>
      <w:marRight w:val="0"/>
      <w:marTop w:val="0"/>
      <w:marBottom w:val="0"/>
      <w:divBdr>
        <w:top w:val="none" w:sz="0" w:space="0" w:color="auto"/>
        <w:left w:val="none" w:sz="0" w:space="0" w:color="auto"/>
        <w:bottom w:val="none" w:sz="0" w:space="0" w:color="auto"/>
        <w:right w:val="none" w:sz="0" w:space="0" w:color="auto"/>
      </w:divBdr>
      <w:divsChild>
        <w:div w:id="2141990291">
          <w:marLeft w:val="0"/>
          <w:marRight w:val="0"/>
          <w:marTop w:val="0"/>
          <w:marBottom w:val="0"/>
          <w:divBdr>
            <w:top w:val="none" w:sz="0" w:space="0" w:color="auto"/>
            <w:left w:val="none" w:sz="0" w:space="0" w:color="auto"/>
            <w:bottom w:val="none" w:sz="0" w:space="0" w:color="auto"/>
            <w:right w:val="none" w:sz="0" w:space="0" w:color="auto"/>
          </w:divBdr>
        </w:div>
      </w:divsChild>
    </w:div>
    <w:div w:id="1720012245">
      <w:bodyDiv w:val="1"/>
      <w:marLeft w:val="0"/>
      <w:marRight w:val="0"/>
      <w:marTop w:val="0"/>
      <w:marBottom w:val="0"/>
      <w:divBdr>
        <w:top w:val="none" w:sz="0" w:space="0" w:color="auto"/>
        <w:left w:val="none" w:sz="0" w:space="0" w:color="auto"/>
        <w:bottom w:val="none" w:sz="0" w:space="0" w:color="auto"/>
        <w:right w:val="none" w:sz="0" w:space="0" w:color="auto"/>
      </w:divBdr>
    </w:div>
    <w:div w:id="1904833090">
      <w:bodyDiv w:val="1"/>
      <w:marLeft w:val="0"/>
      <w:marRight w:val="0"/>
      <w:marTop w:val="0"/>
      <w:marBottom w:val="0"/>
      <w:divBdr>
        <w:top w:val="none" w:sz="0" w:space="0" w:color="auto"/>
        <w:left w:val="none" w:sz="0" w:space="0" w:color="auto"/>
        <w:bottom w:val="none" w:sz="0" w:space="0" w:color="auto"/>
        <w:right w:val="none" w:sz="0" w:space="0" w:color="auto"/>
      </w:divBdr>
    </w:div>
    <w:div w:id="1980959595">
      <w:bodyDiv w:val="1"/>
      <w:marLeft w:val="0"/>
      <w:marRight w:val="0"/>
      <w:marTop w:val="0"/>
      <w:marBottom w:val="0"/>
      <w:divBdr>
        <w:top w:val="none" w:sz="0" w:space="0" w:color="auto"/>
        <w:left w:val="none" w:sz="0" w:space="0" w:color="auto"/>
        <w:bottom w:val="none" w:sz="0" w:space="0" w:color="auto"/>
        <w:right w:val="none" w:sz="0" w:space="0" w:color="auto"/>
      </w:divBdr>
      <w:divsChild>
        <w:div w:id="35545395">
          <w:marLeft w:val="0"/>
          <w:marRight w:val="0"/>
          <w:marTop w:val="0"/>
          <w:marBottom w:val="0"/>
          <w:divBdr>
            <w:top w:val="none" w:sz="0" w:space="0" w:color="auto"/>
            <w:left w:val="none" w:sz="0" w:space="0" w:color="auto"/>
            <w:bottom w:val="none" w:sz="0" w:space="0" w:color="auto"/>
            <w:right w:val="none" w:sz="0" w:space="0" w:color="auto"/>
          </w:divBdr>
        </w:div>
        <w:div w:id="103502308">
          <w:marLeft w:val="0"/>
          <w:marRight w:val="0"/>
          <w:marTop w:val="0"/>
          <w:marBottom w:val="0"/>
          <w:divBdr>
            <w:top w:val="none" w:sz="0" w:space="0" w:color="auto"/>
            <w:left w:val="none" w:sz="0" w:space="0" w:color="auto"/>
            <w:bottom w:val="none" w:sz="0" w:space="0" w:color="auto"/>
            <w:right w:val="none" w:sz="0" w:space="0" w:color="auto"/>
          </w:divBdr>
        </w:div>
        <w:div w:id="830829178">
          <w:marLeft w:val="0"/>
          <w:marRight w:val="0"/>
          <w:marTop w:val="0"/>
          <w:marBottom w:val="0"/>
          <w:divBdr>
            <w:top w:val="none" w:sz="0" w:space="0" w:color="auto"/>
            <w:left w:val="none" w:sz="0" w:space="0" w:color="auto"/>
            <w:bottom w:val="none" w:sz="0" w:space="0" w:color="auto"/>
            <w:right w:val="none" w:sz="0" w:space="0" w:color="auto"/>
          </w:divBdr>
        </w:div>
        <w:div w:id="839465824">
          <w:marLeft w:val="0"/>
          <w:marRight w:val="0"/>
          <w:marTop w:val="0"/>
          <w:marBottom w:val="0"/>
          <w:divBdr>
            <w:top w:val="none" w:sz="0" w:space="0" w:color="auto"/>
            <w:left w:val="none" w:sz="0" w:space="0" w:color="auto"/>
            <w:bottom w:val="none" w:sz="0" w:space="0" w:color="auto"/>
            <w:right w:val="none" w:sz="0" w:space="0" w:color="auto"/>
          </w:divBdr>
        </w:div>
        <w:div w:id="1124613532">
          <w:marLeft w:val="0"/>
          <w:marRight w:val="0"/>
          <w:marTop w:val="0"/>
          <w:marBottom w:val="0"/>
          <w:divBdr>
            <w:top w:val="none" w:sz="0" w:space="0" w:color="auto"/>
            <w:left w:val="none" w:sz="0" w:space="0" w:color="auto"/>
            <w:bottom w:val="none" w:sz="0" w:space="0" w:color="auto"/>
            <w:right w:val="none" w:sz="0" w:space="0" w:color="auto"/>
          </w:divBdr>
        </w:div>
        <w:div w:id="1616256134">
          <w:marLeft w:val="0"/>
          <w:marRight w:val="0"/>
          <w:marTop w:val="0"/>
          <w:marBottom w:val="0"/>
          <w:divBdr>
            <w:top w:val="none" w:sz="0" w:space="0" w:color="auto"/>
            <w:left w:val="none" w:sz="0" w:space="0" w:color="auto"/>
            <w:bottom w:val="none" w:sz="0" w:space="0" w:color="auto"/>
            <w:right w:val="none" w:sz="0" w:space="0" w:color="auto"/>
          </w:divBdr>
        </w:div>
      </w:divsChild>
    </w:div>
    <w:div w:id="20152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12148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2015-04-07T09:05:00Z</dcterms:created>
  <dcterms:modified xsi:type="dcterms:W3CDTF">2015-04-09T13:48:00Z</dcterms:modified>
</cp:coreProperties>
</file>